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EE168D" w:rsidRDefault="006B69BF" w:rsidP="006B69BF">
      <w:pPr>
        <w:spacing w:after="120"/>
        <w:rPr>
          <w:rFonts w:ascii="Arial" w:eastAsia="Arial" w:hAnsi="Arial" w:cs="Arial"/>
          <w:b/>
          <w:sz w:val="20"/>
          <w:u w:val="single"/>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EE168D"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EE168D" w:rsidTr="00563030">
        <w:trPr>
          <w:trHeight w:val="270"/>
        </w:trPr>
        <w:tc>
          <w:tcPr>
            <w:tcW w:w="2552"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563030">
        <w:tblPrEx>
          <w:tblCellMar>
            <w:left w:w="70" w:type="dxa"/>
            <w:right w:w="70" w:type="dxa"/>
          </w:tblCellMar>
        </w:tblPrEx>
        <w:trPr>
          <w:trHeight w:val="101"/>
        </w:trPr>
        <w:tc>
          <w:tcPr>
            <w:tcW w:w="2552"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 xml:space="preserve">Luc </w:t>
            </w:r>
            <w:proofErr w:type="spellStart"/>
            <w:r w:rsidRPr="00EE168D">
              <w:rPr>
                <w:rFonts w:ascii="Arial" w:hAnsi="Arial" w:cs="Arial"/>
                <w:sz w:val="18"/>
                <w:szCs w:val="18"/>
              </w:rPr>
              <w:t>Beugin</w:t>
            </w:r>
            <w:proofErr w:type="spellEnd"/>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563030">
        <w:tblPrEx>
          <w:tblCellMar>
            <w:left w:w="70" w:type="dxa"/>
            <w:right w:w="70" w:type="dxa"/>
          </w:tblCellMar>
        </w:tblPrEx>
        <w:trPr>
          <w:trHeight w:val="273"/>
        </w:trPr>
        <w:tc>
          <w:tcPr>
            <w:tcW w:w="2552" w:type="dxa"/>
            <w:shd w:val="clear" w:color="auto" w:fill="auto"/>
          </w:tcPr>
          <w:p w:rsidR="006B69BF" w:rsidRPr="00EE168D" w:rsidRDefault="001B7296" w:rsidP="00431C0C">
            <w:pPr>
              <w:pStyle w:val="Standard1"/>
              <w:snapToGrid w:val="0"/>
              <w:spacing w:before="20"/>
              <w:rPr>
                <w:rFonts w:ascii="Arial" w:hAnsi="Arial" w:cs="Arial"/>
                <w:sz w:val="18"/>
                <w:szCs w:val="18"/>
              </w:rPr>
            </w:pPr>
            <w:hyperlink r:id="rId6" w:history="1">
              <w:r w:rsidR="006B69BF" w:rsidRPr="00EE168D">
                <w:rPr>
                  <w:rStyle w:val="Hyperlink"/>
                  <w:rFonts w:ascii="Arial" w:hAnsi="Arial" w:cs="Arial"/>
                  <w:sz w:val="18"/>
                  <w:szCs w:val="18"/>
                </w:rPr>
                <w:t>info@congatec.com</w:t>
              </w:r>
            </w:hyperlink>
          </w:p>
          <w:p w:rsidR="006B69BF" w:rsidRPr="00EE168D" w:rsidRDefault="001B7296" w:rsidP="00431C0C">
            <w:pPr>
              <w:pStyle w:val="Standard1"/>
              <w:snapToGrid w:val="0"/>
              <w:spacing w:before="20"/>
              <w:rPr>
                <w:rFonts w:ascii="Arial" w:hAnsi="Arial" w:cs="Arial"/>
                <w:sz w:val="18"/>
                <w:szCs w:val="18"/>
              </w:rPr>
            </w:pPr>
            <w:hyperlink r:id="rId7"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1B7296" w:rsidP="00431C0C">
            <w:pPr>
              <w:pStyle w:val="Standard1"/>
              <w:snapToGrid w:val="0"/>
              <w:spacing w:before="20"/>
              <w:rPr>
                <w:rFonts w:ascii="Arial" w:hAnsi="Arial" w:cs="Arial"/>
                <w:sz w:val="18"/>
                <w:szCs w:val="18"/>
              </w:rPr>
            </w:pPr>
            <w:hyperlink r:id="rId8"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1B7296"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www.sams-network.com</w:t>
              </w:r>
            </w:hyperlink>
          </w:p>
        </w:tc>
      </w:tr>
    </w:tbl>
    <w:p w:rsidR="006B69BF" w:rsidRPr="00EE168D" w:rsidRDefault="006B69BF" w:rsidP="006B69BF">
      <w:pPr>
        <w:spacing w:before="120"/>
        <w:rPr>
          <w:rFonts w:ascii="Arial" w:hAnsi="Arial" w:cs="Arial"/>
          <w:i/>
          <w:iCs/>
          <w:color w:val="000000"/>
          <w:sz w:val="20"/>
          <w:szCs w:val="20"/>
        </w:rPr>
      </w:pPr>
    </w:p>
    <w:p w:rsidR="006B69BF" w:rsidRPr="00EE168D" w:rsidRDefault="006B69BF" w:rsidP="00940AFB">
      <w:pPr>
        <w:jc w:val="right"/>
        <w:rPr>
          <w:rFonts w:ascii="Arial" w:hAnsi="Arial" w:cs="Arial"/>
        </w:rPr>
      </w:pPr>
    </w:p>
    <w:p w:rsidR="005F7AC3" w:rsidRPr="00EE168D" w:rsidRDefault="003E2E69" w:rsidP="005F7AC3">
      <w:pPr>
        <w:spacing w:after="120"/>
        <w:rPr>
          <w:rFonts w:ascii="Arial" w:hAnsi="Arial" w:cs="Arial"/>
          <w:noProof/>
          <w:kern w:val="1"/>
          <w:lang w:eastAsia="de-DE"/>
        </w:rPr>
      </w:pPr>
      <w:r w:rsidRPr="003E2E69">
        <w:rPr>
          <w:rFonts w:ascii="Arial" w:hAnsi="Arial" w:cs="Arial"/>
          <w:noProof/>
          <w:kern w:val="1"/>
          <w:lang w:val="de-DE" w:eastAsia="de-DE" w:bidi="ar-SA"/>
        </w:rPr>
        <w:drawing>
          <wp:inline distT="0" distB="0" distL="0" distR="0">
            <wp:extent cx="1800000" cy="1116667"/>
            <wp:effectExtent l="19050" t="0" r="0" b="0"/>
            <wp:docPr id="1" name="Bild 1" descr="Z:\congatec\01-PR\COPR1902-Basler-NXP-Vision-Platform-for-Retail\congatec-Basler-NXP-Vision-Plat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2-Basler-NXP-Vision-Platform-for-Retail\congatec-Basler-NXP-Vision-Platform.jpg"/>
                    <pic:cNvPicPr>
                      <a:picLocks noChangeAspect="1" noChangeArrowheads="1"/>
                    </pic:cNvPicPr>
                  </pic:nvPicPr>
                  <pic:blipFill>
                    <a:blip r:embed="rId10" cstate="print"/>
                    <a:srcRect/>
                    <a:stretch>
                      <a:fillRect/>
                    </a:stretch>
                  </pic:blipFill>
                  <pic:spPr bwMode="auto">
                    <a:xfrm>
                      <a:off x="0" y="0"/>
                      <a:ext cx="1800000" cy="1116667"/>
                    </a:xfrm>
                    <a:prstGeom prst="rect">
                      <a:avLst/>
                    </a:prstGeom>
                    <a:noFill/>
                    <a:ln w="9525">
                      <a:noFill/>
                      <a:miter lim="800000"/>
                      <a:headEnd/>
                      <a:tailEnd/>
                    </a:ln>
                  </pic:spPr>
                </pic:pic>
              </a:graphicData>
            </a:graphic>
          </wp:inline>
        </w:drawing>
      </w:r>
    </w:p>
    <w:p w:rsidR="005F7AC3" w:rsidRPr="00EE168D" w:rsidRDefault="004029AA" w:rsidP="005F7AC3">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1" w:history="1">
        <w:r w:rsidR="002907A0" w:rsidRPr="002B5411">
          <w:rPr>
            <w:rStyle w:val="Hyperlink"/>
            <w:rFonts w:ascii="Arial" w:hAnsi="Arial" w:cs="Arial"/>
            <w:i/>
            <w:noProof/>
            <w:kern w:val="1"/>
            <w:sz w:val="16"/>
            <w:szCs w:val="16"/>
            <w:lang w:eastAsia="de-DE"/>
          </w:rPr>
          <w:t>https://www.congatec.com/fr/congatec/communiques-de-presse.html</w:t>
        </w:r>
      </w:hyperlink>
      <w:r w:rsidR="002907A0">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3F59AD" w:rsidRPr="00DF45C3" w:rsidRDefault="001905A2" w:rsidP="008A325F">
      <w:pPr>
        <w:widowControl w:val="0"/>
        <w:rPr>
          <w:rFonts w:ascii="Arial" w:hAnsi="Arial" w:cs="Arial"/>
          <w:b/>
          <w:bCs/>
          <w:u w:val="single"/>
        </w:rPr>
      </w:pPr>
      <w:r w:rsidRPr="00DF45C3">
        <w:rPr>
          <w:rFonts w:ascii="Arial" w:hAnsi="Arial" w:cs="Arial"/>
          <w:b/>
          <w:bCs/>
          <w:u w:val="single"/>
        </w:rPr>
        <w:t>Communiqué de presse</w:t>
      </w:r>
    </w:p>
    <w:p w:rsidR="008A325F" w:rsidRPr="00DF45C3" w:rsidRDefault="008A325F" w:rsidP="008A325F">
      <w:pPr>
        <w:widowControl w:val="0"/>
        <w:rPr>
          <w:rFonts w:ascii="Arial" w:hAnsi="Arial" w:cs="Arial"/>
          <w:b/>
          <w:bCs/>
          <w:u w:val="single"/>
        </w:rPr>
      </w:pPr>
    </w:p>
    <w:p w:rsidR="002947D8" w:rsidRPr="004E66CA" w:rsidRDefault="002947D8" w:rsidP="002947D8">
      <w:pPr>
        <w:jc w:val="center"/>
        <w:rPr>
          <w:rFonts w:ascii="Arial" w:hAnsi="Arial" w:cs="Arial"/>
          <w:bCs/>
        </w:rPr>
      </w:pPr>
      <w:proofErr w:type="gramStart"/>
      <w:r w:rsidRPr="004E66CA">
        <w:rPr>
          <w:rFonts w:ascii="Arial" w:hAnsi="Arial" w:cs="Arial"/>
          <w:bCs/>
        </w:rPr>
        <w:t>congatec</w:t>
      </w:r>
      <w:proofErr w:type="gramEnd"/>
      <w:r w:rsidRPr="004E66CA">
        <w:rPr>
          <w:rFonts w:ascii="Arial" w:hAnsi="Arial" w:cs="Arial"/>
          <w:bCs/>
        </w:rPr>
        <w:t xml:space="preserve">, </w:t>
      </w:r>
      <w:proofErr w:type="spellStart"/>
      <w:r w:rsidRPr="004E66CA">
        <w:rPr>
          <w:rFonts w:ascii="Arial" w:hAnsi="Arial" w:cs="Arial"/>
          <w:bCs/>
        </w:rPr>
        <w:t>Basler</w:t>
      </w:r>
      <w:proofErr w:type="spellEnd"/>
      <w:r w:rsidRPr="004E66CA">
        <w:rPr>
          <w:rFonts w:ascii="Arial" w:hAnsi="Arial" w:cs="Arial"/>
          <w:bCs/>
        </w:rPr>
        <w:t xml:space="preserve"> et NXP présentent une application d’apprentissage profond </w:t>
      </w:r>
    </w:p>
    <w:p w:rsidR="002947D8" w:rsidRPr="004E66CA" w:rsidRDefault="002947D8" w:rsidP="002947D8">
      <w:pPr>
        <w:jc w:val="center"/>
        <w:rPr>
          <w:rFonts w:ascii="Arial" w:hAnsi="Arial" w:cs="Arial"/>
          <w:bCs/>
        </w:rPr>
      </w:pPr>
      <w:proofErr w:type="gramStart"/>
      <w:r w:rsidRPr="004E66CA">
        <w:rPr>
          <w:rFonts w:ascii="Arial" w:hAnsi="Arial" w:cs="Arial"/>
          <w:bCs/>
        </w:rPr>
        <w:t>pour</w:t>
      </w:r>
      <w:proofErr w:type="gramEnd"/>
      <w:r w:rsidRPr="004E66CA">
        <w:rPr>
          <w:rFonts w:ascii="Arial" w:hAnsi="Arial" w:cs="Arial"/>
          <w:bCs/>
        </w:rPr>
        <w:t xml:space="preserve"> l’univers de la distribution</w:t>
      </w:r>
    </w:p>
    <w:p w:rsidR="002947D8" w:rsidRPr="004E66CA" w:rsidRDefault="002947D8" w:rsidP="002947D8">
      <w:pPr>
        <w:jc w:val="center"/>
        <w:rPr>
          <w:rFonts w:ascii="Arial" w:hAnsi="Arial" w:cs="Arial"/>
          <w:bCs/>
        </w:rPr>
      </w:pPr>
    </w:p>
    <w:p w:rsidR="002947D8" w:rsidRPr="00E24B3A" w:rsidRDefault="002947D8" w:rsidP="002947D8">
      <w:pPr>
        <w:jc w:val="center"/>
        <w:rPr>
          <w:rFonts w:ascii="Arial" w:hAnsi="Arial" w:cs="Arial"/>
          <w:b/>
          <w:bCs/>
          <w:sz w:val="28"/>
          <w:szCs w:val="28"/>
        </w:rPr>
      </w:pPr>
      <w:r w:rsidRPr="00E24B3A">
        <w:rPr>
          <w:rFonts w:ascii="Arial" w:hAnsi="Arial" w:cs="Arial"/>
          <w:b/>
          <w:bCs/>
          <w:sz w:val="28"/>
          <w:szCs w:val="28"/>
        </w:rPr>
        <w:t>Objectif : une vérification entièrement automatisée</w:t>
      </w:r>
    </w:p>
    <w:p w:rsidR="002947D8" w:rsidRPr="00E24B3A" w:rsidRDefault="002947D8" w:rsidP="002947D8">
      <w:pPr>
        <w:rPr>
          <w:rStyle w:val="Kommentarzeichen1"/>
          <w:rFonts w:ascii="Arial" w:hAnsi="Arial" w:cs="Arial"/>
          <w:b/>
          <w:sz w:val="22"/>
          <w:szCs w:val="22"/>
        </w:rPr>
      </w:pPr>
    </w:p>
    <w:p w:rsidR="002947D8" w:rsidRPr="004E66CA" w:rsidRDefault="002947D8" w:rsidP="002947D8">
      <w:pPr>
        <w:spacing w:line="360" w:lineRule="auto"/>
        <w:rPr>
          <w:rFonts w:ascii="Arial" w:hAnsi="Arial" w:cs="Arial"/>
          <w:sz w:val="22"/>
          <w:szCs w:val="22"/>
        </w:rPr>
      </w:pPr>
      <w:r w:rsidRPr="004E66CA">
        <w:rPr>
          <w:rFonts w:ascii="Arial" w:hAnsi="Arial" w:cs="Arial"/>
          <w:b/>
          <w:sz w:val="22"/>
          <w:szCs w:val="22"/>
        </w:rPr>
        <w:t>Deggendorf/Nuremberg, Allemagne, 26 février 2019 * * *</w:t>
      </w:r>
      <w:r w:rsidRPr="004E66CA">
        <w:rPr>
          <w:rFonts w:ascii="Arial" w:hAnsi="Arial" w:cs="Arial"/>
          <w:sz w:val="22"/>
          <w:szCs w:val="22"/>
        </w:rPr>
        <w:t xml:space="preserve"> A l’Embedded World 2019, congatec, </w:t>
      </w:r>
      <w:proofErr w:type="spellStart"/>
      <w:r w:rsidRPr="004E66CA">
        <w:rPr>
          <w:rFonts w:ascii="Arial" w:hAnsi="Arial" w:cs="Arial"/>
          <w:sz w:val="22"/>
          <w:szCs w:val="22"/>
        </w:rPr>
        <w:t>Basler</w:t>
      </w:r>
      <w:proofErr w:type="spellEnd"/>
      <w:r w:rsidRPr="004E66CA">
        <w:rPr>
          <w:rFonts w:ascii="Arial" w:hAnsi="Arial" w:cs="Arial"/>
          <w:sz w:val="22"/>
          <w:szCs w:val="22"/>
        </w:rPr>
        <w:t xml:space="preserve"> et NXP</w:t>
      </w:r>
      <w:r w:rsidRPr="004E66CA">
        <w:rPr>
          <w:rFonts w:ascii="Arial" w:hAnsi="Arial" w:cs="Arial"/>
          <w:sz w:val="22"/>
          <w:szCs w:val="22"/>
          <w:vertAlign w:val="superscript"/>
        </w:rPr>
        <w:t>®</w:t>
      </w:r>
      <w:r w:rsidRPr="004E66CA">
        <w:rPr>
          <w:rFonts w:ascii="Arial" w:hAnsi="Arial" w:cs="Arial"/>
          <w:sz w:val="22"/>
          <w:szCs w:val="22"/>
        </w:rPr>
        <w:t xml:space="preserve"> </w:t>
      </w:r>
      <w:proofErr w:type="spellStart"/>
      <w:r w:rsidRPr="004E66CA">
        <w:rPr>
          <w:rFonts w:ascii="Arial" w:hAnsi="Arial" w:cs="Arial"/>
          <w:sz w:val="22"/>
          <w:szCs w:val="22"/>
        </w:rPr>
        <w:t>Semiconductors</w:t>
      </w:r>
      <w:proofErr w:type="spellEnd"/>
      <w:r w:rsidRPr="004E66CA">
        <w:rPr>
          <w:rFonts w:ascii="Arial" w:hAnsi="Arial" w:cs="Arial"/>
          <w:sz w:val="22"/>
          <w:szCs w:val="22"/>
        </w:rPr>
        <w:t xml:space="preserve"> présentent sur leurs stands respectifs une application d’apprentissage profond destinée au monde du commerce de détail. Cette plate-forme est une démonstration de concept utilisant l’Intelligence Artificielle (IA) pour automatiser entièrement le processus de vérification. Cette plate-forme a été développée par </w:t>
      </w:r>
      <w:proofErr w:type="spellStart"/>
      <w:r w:rsidRPr="004E66CA">
        <w:rPr>
          <w:rFonts w:ascii="Arial" w:hAnsi="Arial" w:cs="Arial"/>
          <w:sz w:val="22"/>
          <w:szCs w:val="22"/>
        </w:rPr>
        <w:t>Basler</w:t>
      </w:r>
      <w:proofErr w:type="spellEnd"/>
      <w:r w:rsidRPr="004E66CA">
        <w:rPr>
          <w:rFonts w:ascii="Arial" w:hAnsi="Arial" w:cs="Arial"/>
          <w:sz w:val="22"/>
          <w:szCs w:val="22"/>
        </w:rPr>
        <w:t xml:space="preserve"> grâce à un partenariat étroit avec congatec et NXP. Cette solution montre les possibilités à venir pour les applications de vision embarquées et comment elles vont pouvoir simplifier la vie quotidienne.</w:t>
      </w:r>
    </w:p>
    <w:p w:rsidR="002947D8" w:rsidRPr="002947D8" w:rsidRDefault="002947D8" w:rsidP="002947D8">
      <w:pPr>
        <w:spacing w:line="360" w:lineRule="auto"/>
        <w:rPr>
          <w:rFonts w:ascii="Arial" w:hAnsi="Arial" w:cs="Arial"/>
          <w:sz w:val="22"/>
          <w:szCs w:val="22"/>
        </w:rPr>
      </w:pPr>
    </w:p>
    <w:p w:rsidR="002947D8" w:rsidRPr="004E66CA" w:rsidRDefault="002947D8" w:rsidP="002947D8">
      <w:pPr>
        <w:spacing w:line="360" w:lineRule="auto"/>
        <w:rPr>
          <w:rFonts w:ascii="Arial" w:hAnsi="Arial" w:cs="Arial"/>
          <w:sz w:val="22"/>
          <w:szCs w:val="22"/>
        </w:rPr>
      </w:pPr>
      <w:r w:rsidRPr="004E66CA">
        <w:rPr>
          <w:rFonts w:ascii="Arial" w:hAnsi="Arial" w:cs="Arial"/>
          <w:sz w:val="22"/>
          <w:szCs w:val="22"/>
        </w:rPr>
        <w:t>Les visiteurs peuvent choisir les produits qu’ils veulent dans leur panier ; le réseau neuronal formé détecte alors les produits d’après un flux vidéo, semblable au travail de la reconnaissance faciale et affichera à la fin le prix total. De tels systèmes ouvrent une nouvelle perspective pour les applications du commerce de détail. Ils facilitent l’ajout de nouveaux produits dans un catalogue commercial car on peut facilement ajouter des produits dans un réseau neuronal formé. Les magasins bénéficieront de coûts salariaux moindres tout en améliorant de façon significative le confort des clients grâce à des vérifications instantanées, des files d’attente aux caisses raccourcies et 100% de capacité de vérification à tout moment, même si le point de vente est ouvert 24/7.</w:t>
      </w:r>
    </w:p>
    <w:p w:rsidR="002947D8" w:rsidRPr="002947D8" w:rsidRDefault="002947D8" w:rsidP="002947D8">
      <w:pPr>
        <w:spacing w:line="360" w:lineRule="auto"/>
        <w:rPr>
          <w:rFonts w:ascii="Arial" w:hAnsi="Arial" w:cs="Arial"/>
          <w:sz w:val="22"/>
          <w:szCs w:val="22"/>
        </w:rPr>
      </w:pPr>
    </w:p>
    <w:p w:rsidR="002947D8" w:rsidRPr="004E66CA" w:rsidRDefault="002947D8" w:rsidP="002947D8">
      <w:pPr>
        <w:spacing w:line="360" w:lineRule="auto"/>
        <w:rPr>
          <w:rFonts w:ascii="Arial" w:hAnsi="Arial" w:cs="Arial"/>
          <w:sz w:val="22"/>
          <w:szCs w:val="22"/>
        </w:rPr>
      </w:pPr>
      <w:r w:rsidRPr="004E66CA">
        <w:rPr>
          <w:rFonts w:ascii="Arial" w:hAnsi="Arial" w:cs="Arial"/>
          <w:sz w:val="22"/>
          <w:szCs w:val="22"/>
        </w:rPr>
        <w:t>Ron Martine, Vice-Président pour les processeurs applicatifs i.MX chez NXP</w:t>
      </w:r>
      <w:r w:rsidRPr="004E66CA">
        <w:rPr>
          <w:rFonts w:ascii="Arial" w:hAnsi="Arial" w:cs="Arial"/>
          <w:sz w:val="22"/>
          <w:szCs w:val="22"/>
          <w:vertAlign w:val="superscript"/>
        </w:rPr>
        <w:t>®</w:t>
      </w:r>
      <w:r w:rsidRPr="004E66CA">
        <w:rPr>
          <w:rFonts w:ascii="Arial" w:hAnsi="Arial" w:cs="Arial"/>
          <w:sz w:val="22"/>
          <w:szCs w:val="22"/>
        </w:rPr>
        <w:t xml:space="preserve"> </w:t>
      </w:r>
      <w:proofErr w:type="spellStart"/>
      <w:r w:rsidRPr="004E66CA">
        <w:rPr>
          <w:rFonts w:ascii="Arial" w:hAnsi="Arial" w:cs="Arial"/>
          <w:sz w:val="22"/>
          <w:szCs w:val="22"/>
        </w:rPr>
        <w:t>Semiconductors</w:t>
      </w:r>
      <w:proofErr w:type="spellEnd"/>
      <w:r w:rsidRPr="004E66CA">
        <w:rPr>
          <w:rFonts w:ascii="Arial" w:hAnsi="Arial" w:cs="Arial"/>
          <w:sz w:val="22"/>
          <w:szCs w:val="22"/>
        </w:rPr>
        <w:t>, explique les avantages de la famille i.MX 8 dans cette application. “ Les processeurs applicatifs NXP i.MX 8 récemment annoncés sont idéa</w:t>
      </w:r>
      <w:r w:rsidR="00F65359">
        <w:rPr>
          <w:rFonts w:ascii="Arial" w:hAnsi="Arial" w:cs="Arial"/>
          <w:sz w:val="22"/>
          <w:szCs w:val="22"/>
        </w:rPr>
        <w:t>ux</w:t>
      </w:r>
      <w:r w:rsidRPr="004E66CA">
        <w:rPr>
          <w:rFonts w:ascii="Arial" w:hAnsi="Arial" w:cs="Arial"/>
          <w:sz w:val="22"/>
          <w:szCs w:val="22"/>
        </w:rPr>
        <w:t xml:space="preserve"> pour ces applications en volume car ils prennent en charge jusqu’à 2 caméras MIPI en natif avec un TDP de seulement quelques watts, ils intègrent la prise en charge de réseaux neuronaux et jusqu’à quatre écrans Full HD ; enfin ils possèdent une séparation de domaine sécurisée pour isoler en toute sécurité le règlement et le scan. Ils possèdent toutes les capacités de traitement embarqué nécessaires pour développer des systèmes d’auto-vérification complets basés sur une seule plate-forme processeur”. </w:t>
      </w:r>
    </w:p>
    <w:p w:rsidR="002947D8" w:rsidRPr="002947D8" w:rsidRDefault="002947D8" w:rsidP="002947D8">
      <w:pPr>
        <w:spacing w:line="360" w:lineRule="auto"/>
        <w:rPr>
          <w:rFonts w:ascii="Arial" w:hAnsi="Arial" w:cs="Arial"/>
          <w:sz w:val="22"/>
          <w:szCs w:val="22"/>
        </w:rPr>
      </w:pPr>
    </w:p>
    <w:p w:rsidR="002947D8" w:rsidRPr="004E66CA" w:rsidRDefault="002947D8" w:rsidP="002947D8">
      <w:pPr>
        <w:spacing w:line="360" w:lineRule="auto"/>
        <w:rPr>
          <w:rFonts w:ascii="Arial" w:hAnsi="Arial" w:cs="Arial"/>
          <w:sz w:val="22"/>
          <w:szCs w:val="22"/>
        </w:rPr>
      </w:pPr>
      <w:r w:rsidRPr="004E66CA">
        <w:rPr>
          <w:rFonts w:ascii="Arial" w:hAnsi="Arial" w:cs="Arial"/>
          <w:sz w:val="22"/>
          <w:szCs w:val="22"/>
        </w:rPr>
        <w:t xml:space="preserve">Martin </w:t>
      </w:r>
      <w:proofErr w:type="spellStart"/>
      <w:r w:rsidRPr="004E66CA">
        <w:rPr>
          <w:rFonts w:ascii="Arial" w:hAnsi="Arial" w:cs="Arial"/>
          <w:sz w:val="22"/>
          <w:szCs w:val="22"/>
        </w:rPr>
        <w:t>Danzer</w:t>
      </w:r>
      <w:proofErr w:type="spellEnd"/>
      <w:r w:rsidRPr="004E66CA">
        <w:rPr>
          <w:rFonts w:ascii="Arial" w:hAnsi="Arial" w:cs="Arial"/>
          <w:sz w:val="22"/>
          <w:szCs w:val="22"/>
        </w:rPr>
        <w:t xml:space="preserve"> Directeur des Produits chez congatec, explique comment congatec prend en charge cette plate-forme dans l’installation de cette application commerciale : “Nous proposons ces processeurs applicatifs i.MX 8 impressionnants en tant que plate-forme matérielle embarquée prête à l’emploi sur la base de Computer-on-Modules courants. De plus, pour des systèmes d’auto-vérification à grande échelle, nous assurons un service complet à la demande, depuis la conception de cartes porteuses personnalisées jusqu’au mélange de modules et de logique de charge économiques dans un design entièrement personnalisé. Dans une première étape, les clients peuvent tester les nombreuses variantes de performances des processeurs BGA en échangeant simplement les modules sur nos cartes porteuses d’évaluation. Dans l’étape suivante, nous fournissons la plate-forme informatique embarquée personnalisée dans un design entièrement sur mesure et optimisé aux niveaux coût et encombrement”.</w:t>
      </w:r>
    </w:p>
    <w:p w:rsidR="002947D8" w:rsidRPr="002947D8" w:rsidRDefault="002947D8" w:rsidP="002947D8">
      <w:pPr>
        <w:spacing w:line="360" w:lineRule="auto"/>
        <w:rPr>
          <w:rFonts w:ascii="Arial" w:hAnsi="Arial" w:cs="Arial"/>
          <w:sz w:val="22"/>
          <w:szCs w:val="22"/>
        </w:rPr>
      </w:pPr>
    </w:p>
    <w:p w:rsidR="002947D8" w:rsidRPr="004E66CA" w:rsidRDefault="002947D8" w:rsidP="002947D8">
      <w:pPr>
        <w:spacing w:line="360" w:lineRule="auto"/>
        <w:rPr>
          <w:rFonts w:ascii="Arial" w:hAnsi="Arial" w:cs="Arial"/>
          <w:sz w:val="22"/>
          <w:szCs w:val="22"/>
        </w:rPr>
      </w:pPr>
      <w:r w:rsidRPr="004E66CA">
        <w:rPr>
          <w:rFonts w:ascii="Arial" w:hAnsi="Arial" w:cs="Arial"/>
          <w:sz w:val="22"/>
          <w:szCs w:val="22"/>
        </w:rPr>
        <w:t xml:space="preserve">Gerrit Fischer, Responsable des Produits chez </w:t>
      </w:r>
      <w:proofErr w:type="spellStart"/>
      <w:r w:rsidRPr="004E66CA">
        <w:rPr>
          <w:rFonts w:ascii="Arial" w:hAnsi="Arial" w:cs="Arial"/>
          <w:sz w:val="22"/>
          <w:szCs w:val="22"/>
        </w:rPr>
        <w:t>Basler</w:t>
      </w:r>
      <w:proofErr w:type="spellEnd"/>
      <w:r w:rsidRPr="004E66CA">
        <w:rPr>
          <w:rFonts w:ascii="Arial" w:hAnsi="Arial" w:cs="Arial"/>
          <w:sz w:val="22"/>
          <w:szCs w:val="22"/>
        </w:rPr>
        <w:t xml:space="preserve">, est heureux d’avoir des partenaires solides pour ses solutions de vision embarquée : “Cette application d’apprentissage profond pour le commerce s’appuie sur notre nouveau Kit de Vision Embarquée et montre comment les partenariats stratégiques avec congatec et NXP nous aident à bâtir les meilleures solutions de vision embarquées pour nos clients. Avec </w:t>
      </w:r>
      <w:proofErr w:type="spellStart"/>
      <w:r w:rsidRPr="004E66CA">
        <w:rPr>
          <w:rFonts w:ascii="Arial" w:hAnsi="Arial" w:cs="Arial"/>
          <w:sz w:val="22"/>
          <w:szCs w:val="22"/>
        </w:rPr>
        <w:t>Basler</w:t>
      </w:r>
      <w:proofErr w:type="spellEnd"/>
      <w:r w:rsidR="00F65359">
        <w:rPr>
          <w:rFonts w:ascii="Arial" w:hAnsi="Arial" w:cs="Arial"/>
          <w:sz w:val="22"/>
          <w:szCs w:val="22"/>
        </w:rPr>
        <w:t>,</w:t>
      </w:r>
      <w:bookmarkStart w:id="0" w:name="_GoBack"/>
      <w:bookmarkEnd w:id="0"/>
      <w:r w:rsidRPr="004E66CA">
        <w:rPr>
          <w:rFonts w:ascii="Arial" w:hAnsi="Arial" w:cs="Arial"/>
          <w:sz w:val="22"/>
          <w:szCs w:val="22"/>
        </w:rPr>
        <w:t xml:space="preserve"> la vision embarquée devient facile : que ce soit avec nos kits de vision embarquée faciles à intégrer qui offrent une excellente base de solutions pour de nombreux domaines différents avec nos services à vos côtés tout au long du processus, depuis le concept jusqu’à la solution finale”.</w:t>
      </w:r>
    </w:p>
    <w:p w:rsidR="002947D8" w:rsidRPr="002947D8" w:rsidRDefault="002947D8" w:rsidP="002947D8">
      <w:pPr>
        <w:spacing w:line="276" w:lineRule="auto"/>
        <w:rPr>
          <w:rFonts w:ascii="Arial" w:hAnsi="Arial" w:cs="Arial"/>
          <w:sz w:val="22"/>
          <w:szCs w:val="22"/>
        </w:rPr>
      </w:pPr>
    </w:p>
    <w:p w:rsidR="00224FBE" w:rsidRPr="002947D8" w:rsidRDefault="002947D8" w:rsidP="002947D8">
      <w:pPr>
        <w:spacing w:line="360" w:lineRule="auto"/>
        <w:rPr>
          <w:rFonts w:ascii="Arial" w:hAnsi="Arial" w:cs="Arial"/>
          <w:b/>
          <w:sz w:val="22"/>
          <w:szCs w:val="22"/>
        </w:rPr>
      </w:pPr>
      <w:r w:rsidRPr="004E66CA">
        <w:rPr>
          <w:rFonts w:ascii="Arial" w:hAnsi="Arial" w:cs="Arial"/>
          <w:sz w:val="22"/>
          <w:szCs w:val="22"/>
        </w:rPr>
        <w:t xml:space="preserve">L’application d’apprentissage profond pour le commerce qui sera montrée à l’Embedded World sur les stands de congatec (hall 1, stand 358), </w:t>
      </w:r>
      <w:proofErr w:type="spellStart"/>
      <w:r w:rsidRPr="004E66CA">
        <w:rPr>
          <w:rFonts w:ascii="Arial" w:hAnsi="Arial" w:cs="Arial"/>
          <w:sz w:val="22"/>
          <w:szCs w:val="22"/>
        </w:rPr>
        <w:t>Basler</w:t>
      </w:r>
      <w:proofErr w:type="spellEnd"/>
      <w:r w:rsidRPr="004E66CA">
        <w:rPr>
          <w:rFonts w:ascii="Arial" w:hAnsi="Arial" w:cs="Arial"/>
          <w:sz w:val="22"/>
          <w:szCs w:val="22"/>
        </w:rPr>
        <w:t xml:space="preserve"> (hall 2, stand 550) and NXP</w:t>
      </w:r>
      <w:r w:rsidRPr="004E66CA">
        <w:rPr>
          <w:rFonts w:ascii="Arial" w:hAnsi="Arial" w:cs="Arial"/>
          <w:sz w:val="22"/>
          <w:szCs w:val="22"/>
          <w:vertAlign w:val="superscript"/>
        </w:rPr>
        <w:t>®</w:t>
      </w:r>
      <w:r w:rsidRPr="004E66CA">
        <w:rPr>
          <w:rFonts w:ascii="Arial" w:hAnsi="Arial" w:cs="Arial"/>
          <w:sz w:val="22"/>
          <w:szCs w:val="22"/>
        </w:rPr>
        <w:t xml:space="preserve"> </w:t>
      </w:r>
      <w:proofErr w:type="spellStart"/>
      <w:r w:rsidRPr="004E66CA">
        <w:rPr>
          <w:rFonts w:ascii="Arial" w:hAnsi="Arial" w:cs="Arial"/>
          <w:sz w:val="22"/>
          <w:szCs w:val="22"/>
        </w:rPr>
        <w:t>Semiconductors</w:t>
      </w:r>
      <w:proofErr w:type="spellEnd"/>
      <w:r w:rsidRPr="004E66CA">
        <w:rPr>
          <w:rFonts w:ascii="Arial" w:hAnsi="Arial" w:cs="Arial"/>
          <w:sz w:val="22"/>
          <w:szCs w:val="22"/>
        </w:rPr>
        <w:t xml:space="preserve"> (hall 4A, stand 220), est basée sur un kit de vision embarquée </w:t>
      </w:r>
      <w:proofErr w:type="spellStart"/>
      <w:r w:rsidRPr="004E66CA">
        <w:rPr>
          <w:rFonts w:ascii="Arial" w:hAnsi="Arial" w:cs="Arial"/>
          <w:sz w:val="22"/>
          <w:szCs w:val="22"/>
        </w:rPr>
        <w:t>Basler</w:t>
      </w:r>
      <w:proofErr w:type="spellEnd"/>
      <w:r w:rsidRPr="004E66CA">
        <w:rPr>
          <w:rFonts w:ascii="Arial" w:hAnsi="Arial" w:cs="Arial"/>
          <w:sz w:val="22"/>
          <w:szCs w:val="22"/>
        </w:rPr>
        <w:t xml:space="preserve"> composé d’un SoC NXP i.MX 8QuadMax monté sur le Computer-on-Module conga-SMX8 </w:t>
      </w:r>
      <w:r w:rsidRPr="004E66CA">
        <w:rPr>
          <w:rFonts w:ascii="Arial" w:hAnsi="Arial" w:cs="Arial"/>
          <w:sz w:val="22"/>
          <w:szCs w:val="22"/>
        </w:rPr>
        <w:lastRenderedPageBreak/>
        <w:t xml:space="preserve">SMARC 2.0 de congatec, une carte porteuse SMARC 2.0 et le module caméra DART BCON pour MIPI 13 MP. Le kit de vision embarquée sera disponible cet été auprès de </w:t>
      </w:r>
      <w:proofErr w:type="spellStart"/>
      <w:r w:rsidRPr="004E66CA">
        <w:rPr>
          <w:rFonts w:ascii="Arial" w:hAnsi="Arial" w:cs="Arial"/>
          <w:sz w:val="22"/>
          <w:szCs w:val="22"/>
        </w:rPr>
        <w:t>Basler</w:t>
      </w:r>
      <w:proofErr w:type="spellEnd"/>
      <w:r w:rsidRPr="004E66CA">
        <w:rPr>
          <w:rFonts w:ascii="Arial" w:hAnsi="Arial" w:cs="Arial"/>
          <w:sz w:val="22"/>
          <w:szCs w:val="22"/>
        </w:rPr>
        <w:t>.</w:t>
      </w:r>
    </w:p>
    <w:p w:rsidR="00224FBE" w:rsidRPr="002947D8" w:rsidRDefault="00224FBE" w:rsidP="0043675A">
      <w:pPr>
        <w:spacing w:before="240" w:line="276" w:lineRule="auto"/>
        <w:rPr>
          <w:rFonts w:ascii="Arial" w:hAnsi="Arial" w:cs="Arial"/>
          <w:b/>
          <w:sz w:val="18"/>
          <w:szCs w:val="18"/>
        </w:rPr>
      </w:pPr>
    </w:p>
    <w:p w:rsidR="00230D5F" w:rsidRPr="00230D5F" w:rsidRDefault="00230D5F" w:rsidP="00230D5F">
      <w:pPr>
        <w:spacing w:line="360" w:lineRule="auto"/>
        <w:rPr>
          <w:rFonts w:ascii="Arial" w:hAnsi="Arial" w:cs="Arial"/>
          <w:b/>
          <w:sz w:val="16"/>
          <w:szCs w:val="16"/>
        </w:rPr>
      </w:pPr>
      <w:r w:rsidRPr="00230D5F">
        <w:rPr>
          <w:rFonts w:ascii="Arial" w:hAnsi="Arial" w:cs="Arial"/>
          <w:b/>
          <w:sz w:val="16"/>
          <w:szCs w:val="16"/>
        </w:rPr>
        <w:t>A propos de congatec</w:t>
      </w:r>
    </w:p>
    <w:p w:rsidR="00230D5F" w:rsidRPr="00230D5F" w:rsidRDefault="00230D5F" w:rsidP="00230D5F">
      <w:pPr>
        <w:jc w:val="both"/>
        <w:rPr>
          <w:rFonts w:ascii="Arial" w:hAnsi="Arial" w:cs="Arial"/>
          <w:sz w:val="16"/>
          <w:szCs w:val="16"/>
        </w:rPr>
      </w:pPr>
      <w:proofErr w:type="gramStart"/>
      <w:r w:rsidRPr="00230D5F">
        <w:rPr>
          <w:rFonts w:ascii="Arial" w:hAnsi="Arial" w:cs="Arial"/>
          <w:sz w:val="16"/>
          <w:szCs w:val="16"/>
        </w:rPr>
        <w:t>congatec</w:t>
      </w:r>
      <w:proofErr w:type="gramEnd"/>
      <w:r w:rsidRPr="00230D5F">
        <w:rPr>
          <w:rFonts w:ascii="Arial" w:hAnsi="Arial" w:cs="Arial"/>
          <w:sz w:val="16"/>
          <w:szCs w:val="16"/>
        </w:rPr>
        <w:t xml:space="preserve"> est un fournisseur de premier plan de modules informatiques utilisant les standards COM Express, Qseven et SMARC ainsi que de cartes SBC (Single </w:t>
      </w:r>
      <w:proofErr w:type="spellStart"/>
      <w:r w:rsidRPr="00230D5F">
        <w:rPr>
          <w:rFonts w:ascii="Arial" w:hAnsi="Arial" w:cs="Arial"/>
          <w:sz w:val="16"/>
          <w:szCs w:val="16"/>
        </w:rPr>
        <w:t>Board</w:t>
      </w:r>
      <w:proofErr w:type="spellEnd"/>
      <w:r w:rsidRPr="00230D5F">
        <w:rPr>
          <w:rFonts w:ascii="Arial" w:hAnsi="Arial" w:cs="Arial"/>
          <w:sz w:val="16"/>
          <w:szCs w:val="16"/>
        </w:rPr>
        <w:t xml:space="preserve"> Computers) et de services de personnalisation (cartes custom). Les produits congatec peuvent entrer dans un grand nombre d'industries et d'applications comme l'automatisation industrielle, les équipements  médicaux, les loisirs, les transports, les télécoms, les tests et mesure et les points de vente. Parmi les compétences et le savoir-faire technique de congatec, citons des fonctions BIOS uniques, des pilotes et des BSP (</w:t>
      </w:r>
      <w:proofErr w:type="spellStart"/>
      <w:r w:rsidRPr="00230D5F">
        <w:rPr>
          <w:rFonts w:ascii="Arial" w:hAnsi="Arial" w:cs="Arial"/>
          <w:sz w:val="16"/>
          <w:szCs w:val="16"/>
        </w:rPr>
        <w:t>Board</w:t>
      </w:r>
      <w:proofErr w:type="spellEnd"/>
      <w:r w:rsidRPr="00230D5F">
        <w:rPr>
          <w:rFonts w:ascii="Arial" w:hAnsi="Arial" w:cs="Arial"/>
          <w:sz w:val="16"/>
          <w:szCs w:val="16"/>
        </w:rPr>
        <w:t xml:space="preserve"> Support Packages) complets.  Après la phase de design, les clients bénéficient d'un support tout au long du cycle de vie du produit. Les produits congatec sont fabriqués par des grands noms du monde de la sous-traitance électronique en respectant les standards de qualité. Avec son siège social basé à Deggendorf, Allemagne, congatec possède des filiales aux Etats-Unis, Taiwan, Chine, Japon et Australie ainsi qu‘en Grande-Bretagne, France et République Tchèque. Site web : </w:t>
      </w:r>
      <w:hyperlink r:id="rId12" w:history="1">
        <w:r w:rsidRPr="00230D5F">
          <w:rPr>
            <w:rStyle w:val="Hyperlink"/>
            <w:rFonts w:ascii="Arial" w:eastAsiaTheme="majorEastAsia" w:hAnsi="Arial" w:cs="Arial"/>
            <w:sz w:val="16"/>
            <w:szCs w:val="16"/>
          </w:rPr>
          <w:t>www.congatec.com</w:t>
        </w:r>
      </w:hyperlink>
      <w:r w:rsidRPr="00230D5F">
        <w:rPr>
          <w:rFonts w:ascii="Arial" w:eastAsiaTheme="majorEastAsia" w:hAnsi="Arial" w:cs="Arial"/>
          <w:sz w:val="16"/>
          <w:szCs w:val="16"/>
          <w:u w:val="single"/>
        </w:rPr>
        <w:t xml:space="preserve"> </w:t>
      </w:r>
      <w:r w:rsidRPr="00230D5F">
        <w:rPr>
          <w:rFonts w:ascii="Arial" w:hAnsi="Arial" w:cs="Arial"/>
          <w:sz w:val="16"/>
          <w:szCs w:val="16"/>
        </w:rPr>
        <w:t xml:space="preserve">ou </w:t>
      </w:r>
      <w:r w:rsidRPr="00230D5F">
        <w:rPr>
          <w:rFonts w:ascii="Arial" w:eastAsia="MS Mincho" w:hAnsi="Arial" w:cs="Arial"/>
          <w:sz w:val="16"/>
          <w:szCs w:val="16"/>
          <w:lang w:eastAsia="ja-JP"/>
        </w:rPr>
        <w:t>via</w:t>
      </w:r>
      <w:r w:rsidRPr="00230D5F">
        <w:rPr>
          <w:rFonts w:ascii="Arial" w:eastAsia="MS Mincho" w:hAnsi="Arial" w:cs="Arial"/>
          <w:sz w:val="16"/>
          <w:szCs w:val="16"/>
        </w:rPr>
        <w:t xml:space="preserve"> </w:t>
      </w:r>
      <w:hyperlink r:id="rId13" w:history="1">
        <w:r w:rsidRPr="00230D5F">
          <w:rPr>
            <w:rStyle w:val="Hyperlink"/>
            <w:rFonts w:ascii="Arial" w:eastAsia="MS Mincho" w:hAnsi="Arial" w:cs="Arial"/>
            <w:sz w:val="16"/>
            <w:szCs w:val="16"/>
          </w:rPr>
          <w:t>Facebook</w:t>
        </w:r>
      </w:hyperlink>
      <w:r w:rsidRPr="00230D5F">
        <w:rPr>
          <w:rFonts w:ascii="Arial" w:eastAsia="MS Mincho" w:hAnsi="Arial" w:cs="Arial"/>
          <w:sz w:val="16"/>
          <w:szCs w:val="16"/>
        </w:rPr>
        <w:t xml:space="preserve">, </w:t>
      </w:r>
      <w:hyperlink r:id="rId14" w:history="1">
        <w:r w:rsidRPr="00230D5F">
          <w:rPr>
            <w:rStyle w:val="Hyperlink"/>
            <w:rFonts w:ascii="Arial" w:eastAsia="MS Mincho" w:hAnsi="Arial" w:cs="Arial"/>
            <w:sz w:val="16"/>
            <w:szCs w:val="16"/>
          </w:rPr>
          <w:t>Twitter</w:t>
        </w:r>
      </w:hyperlink>
      <w:r w:rsidRPr="00230D5F">
        <w:rPr>
          <w:rFonts w:ascii="Arial" w:eastAsia="MS Mincho" w:hAnsi="Arial" w:cs="Arial"/>
          <w:sz w:val="16"/>
          <w:szCs w:val="16"/>
        </w:rPr>
        <w:t xml:space="preserve"> </w:t>
      </w:r>
      <w:r w:rsidRPr="00230D5F">
        <w:rPr>
          <w:rFonts w:ascii="Arial" w:hAnsi="Arial" w:cs="Arial"/>
          <w:sz w:val="16"/>
          <w:szCs w:val="16"/>
        </w:rPr>
        <w:t xml:space="preserve">et </w:t>
      </w:r>
      <w:hyperlink r:id="rId15" w:history="1">
        <w:r w:rsidRPr="00230D5F">
          <w:rPr>
            <w:rStyle w:val="Hyperlink"/>
            <w:rFonts w:ascii="Arial" w:eastAsiaTheme="majorEastAsia" w:hAnsi="Arial" w:cs="Arial"/>
            <w:sz w:val="16"/>
            <w:szCs w:val="16"/>
          </w:rPr>
          <w:t>YouTube</w:t>
        </w:r>
      </w:hyperlink>
    </w:p>
    <w:p w:rsidR="00931403" w:rsidRDefault="00931403" w:rsidP="00953DE9">
      <w:pPr>
        <w:pStyle w:val="Standard1"/>
        <w:spacing w:before="120"/>
        <w:rPr>
          <w:rFonts w:ascii="Arial" w:hAnsi="Arial" w:cs="Arial"/>
          <w:bCs/>
          <w:sz w:val="16"/>
          <w:szCs w:val="16"/>
          <w:lang w:eastAsia="ar-SA" w:bidi="ar-SA"/>
        </w:rPr>
      </w:pPr>
    </w:p>
    <w:p w:rsidR="002947D8" w:rsidRPr="002947D8" w:rsidRDefault="002947D8" w:rsidP="002947D8">
      <w:pPr>
        <w:suppressAutoHyphens w:val="0"/>
        <w:rPr>
          <w:rFonts w:ascii="Arial" w:eastAsia="Arial" w:hAnsi="Arial" w:cs="Arial"/>
          <w:b/>
          <w:sz w:val="16"/>
          <w:szCs w:val="16"/>
        </w:rPr>
      </w:pPr>
      <w:r w:rsidRPr="002947D8">
        <w:rPr>
          <w:rFonts w:ascii="Arial" w:eastAsia="Arial" w:hAnsi="Arial" w:cs="Arial"/>
          <w:b/>
          <w:sz w:val="16"/>
          <w:szCs w:val="16"/>
        </w:rPr>
        <w:t xml:space="preserve">A propos de </w:t>
      </w:r>
      <w:proofErr w:type="spellStart"/>
      <w:r w:rsidRPr="002947D8">
        <w:rPr>
          <w:rFonts w:ascii="Arial" w:eastAsia="Arial" w:hAnsi="Arial" w:cs="Arial"/>
          <w:b/>
          <w:sz w:val="16"/>
          <w:szCs w:val="16"/>
        </w:rPr>
        <w:t>Basler</w:t>
      </w:r>
      <w:proofErr w:type="spellEnd"/>
    </w:p>
    <w:p w:rsidR="002947D8" w:rsidRPr="002947D8" w:rsidRDefault="002947D8" w:rsidP="0029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hAnsi="Arial" w:cs="Arial"/>
          <w:sz w:val="16"/>
          <w:szCs w:val="16"/>
        </w:rPr>
      </w:pPr>
      <w:proofErr w:type="spellStart"/>
      <w:r w:rsidRPr="002947D8">
        <w:rPr>
          <w:rFonts w:ascii="Arial" w:hAnsi="Arial" w:cs="Arial"/>
          <w:sz w:val="16"/>
          <w:szCs w:val="16"/>
        </w:rPr>
        <w:t>Basler</w:t>
      </w:r>
      <w:proofErr w:type="spellEnd"/>
      <w:r w:rsidRPr="002947D8">
        <w:rPr>
          <w:rFonts w:ascii="Arial" w:hAnsi="Arial" w:cs="Arial"/>
          <w:sz w:val="16"/>
          <w:szCs w:val="16"/>
        </w:rPr>
        <w:t xml:space="preserve"> est un fabricant leader de caméras et d'accessoires pour caméras de haute qualité pour l'industrie, la médecine, la circulation et de nombreux autres marchés. Le catalogue de produits de la société comprend des caméras matricielles et linéaires compactes, des modules de caméra dans des variantes de carte pour solutions intégrées et des caméras 3D. Le catalogue est complété par le SDK </w:t>
      </w:r>
      <w:proofErr w:type="spellStart"/>
      <w:r w:rsidRPr="002947D8">
        <w:rPr>
          <w:rFonts w:ascii="Arial" w:hAnsi="Arial" w:cs="Arial"/>
          <w:sz w:val="16"/>
          <w:szCs w:val="16"/>
        </w:rPr>
        <w:t>pylon</w:t>
      </w:r>
      <w:proofErr w:type="spellEnd"/>
      <w:r w:rsidRPr="002947D8">
        <w:rPr>
          <w:rFonts w:ascii="Arial" w:hAnsi="Arial" w:cs="Arial"/>
          <w:sz w:val="16"/>
          <w:szCs w:val="16"/>
        </w:rPr>
        <w:t xml:space="preserve"> convivial ainsi que par un large éventail d'accessoires, dont plusieurs développés spécialement pour </w:t>
      </w:r>
      <w:proofErr w:type="spellStart"/>
      <w:r w:rsidRPr="002947D8">
        <w:rPr>
          <w:rFonts w:ascii="Arial" w:hAnsi="Arial" w:cs="Arial"/>
          <w:sz w:val="16"/>
          <w:szCs w:val="16"/>
        </w:rPr>
        <w:t>Basler</w:t>
      </w:r>
      <w:proofErr w:type="spellEnd"/>
      <w:r w:rsidRPr="002947D8">
        <w:rPr>
          <w:rFonts w:ascii="Arial" w:hAnsi="Arial" w:cs="Arial"/>
          <w:sz w:val="16"/>
          <w:szCs w:val="16"/>
        </w:rPr>
        <w:t xml:space="preserve"> et harmonisés de manière optimale pour ses appareils photo. </w:t>
      </w:r>
      <w:proofErr w:type="spellStart"/>
      <w:r w:rsidRPr="002947D8">
        <w:rPr>
          <w:rFonts w:ascii="Arial" w:hAnsi="Arial" w:cs="Arial"/>
          <w:sz w:val="16"/>
          <w:szCs w:val="16"/>
        </w:rPr>
        <w:t>Basler</w:t>
      </w:r>
      <w:proofErr w:type="spellEnd"/>
      <w:r w:rsidRPr="002947D8">
        <w:rPr>
          <w:rFonts w:ascii="Arial" w:hAnsi="Arial" w:cs="Arial"/>
          <w:sz w:val="16"/>
          <w:szCs w:val="16"/>
        </w:rPr>
        <w:t xml:space="preserve"> a trois décennies d'expérience dans la vision par ordinateur. La société emploie environ 600 personnes dans son siège social situé à </w:t>
      </w:r>
      <w:proofErr w:type="spellStart"/>
      <w:r w:rsidRPr="002947D8">
        <w:rPr>
          <w:rFonts w:ascii="Arial" w:hAnsi="Arial" w:cs="Arial"/>
          <w:sz w:val="16"/>
          <w:szCs w:val="16"/>
        </w:rPr>
        <w:t>Ahrensburg</w:t>
      </w:r>
      <w:proofErr w:type="spellEnd"/>
      <w:r w:rsidRPr="002947D8">
        <w:rPr>
          <w:rFonts w:ascii="Arial" w:hAnsi="Arial" w:cs="Arial"/>
          <w:sz w:val="16"/>
          <w:szCs w:val="16"/>
        </w:rPr>
        <w:t>, Allemagne, ainsi que dans ses filiales et ses bureaux de vente en Europe, en Asie et en Amérique du Nord.</w:t>
      </w:r>
    </w:p>
    <w:p w:rsidR="002947D8" w:rsidRPr="002947D8" w:rsidRDefault="002947D8" w:rsidP="002947D8">
      <w:pPr>
        <w:suppressAutoHyphens w:val="0"/>
        <w:rPr>
          <w:rFonts w:ascii="Arial" w:eastAsia="Arial" w:hAnsi="Arial" w:cs="Arial"/>
          <w:sz w:val="16"/>
          <w:szCs w:val="16"/>
        </w:rPr>
      </w:pPr>
    </w:p>
    <w:p w:rsidR="002947D8" w:rsidRPr="002947D8" w:rsidRDefault="002947D8" w:rsidP="002947D8">
      <w:pPr>
        <w:suppressAutoHyphens w:val="0"/>
        <w:rPr>
          <w:rFonts w:ascii="Arial" w:eastAsia="Arial" w:hAnsi="Arial" w:cs="Arial"/>
          <w:sz w:val="16"/>
          <w:szCs w:val="16"/>
        </w:rPr>
      </w:pPr>
    </w:p>
    <w:p w:rsidR="002947D8" w:rsidRPr="002947D8" w:rsidRDefault="002947D8" w:rsidP="002947D8">
      <w:pPr>
        <w:pStyle w:val="Standard1"/>
        <w:spacing w:line="200" w:lineRule="atLeast"/>
        <w:rPr>
          <w:rFonts w:ascii="Arial" w:hAnsi="Arial" w:cs="Arial"/>
          <w:b/>
          <w:sz w:val="16"/>
          <w:szCs w:val="16"/>
        </w:rPr>
      </w:pPr>
      <w:r w:rsidRPr="002947D8">
        <w:rPr>
          <w:rFonts w:ascii="Arial" w:hAnsi="Arial" w:cs="Arial"/>
          <w:b/>
          <w:sz w:val="16"/>
          <w:szCs w:val="16"/>
        </w:rPr>
        <w:t xml:space="preserve">A propos de NXP </w:t>
      </w:r>
      <w:proofErr w:type="spellStart"/>
      <w:r w:rsidRPr="002947D8">
        <w:rPr>
          <w:rFonts w:ascii="Arial" w:hAnsi="Arial" w:cs="Arial"/>
          <w:b/>
          <w:sz w:val="16"/>
          <w:szCs w:val="16"/>
        </w:rPr>
        <w:t>Semiconductors</w:t>
      </w:r>
      <w:proofErr w:type="spellEnd"/>
    </w:p>
    <w:p w:rsidR="002947D8" w:rsidRPr="002947D8" w:rsidRDefault="002947D8" w:rsidP="0029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hAnsi="Arial" w:cs="Arial"/>
          <w:sz w:val="16"/>
          <w:szCs w:val="16"/>
        </w:rPr>
      </w:pPr>
      <w:r w:rsidRPr="002947D8">
        <w:rPr>
          <w:rFonts w:ascii="Arial" w:hAnsi="Arial" w:cs="Arial"/>
          <w:sz w:val="16"/>
          <w:szCs w:val="16"/>
        </w:rPr>
        <w:t xml:space="preserve">NXP </w:t>
      </w:r>
      <w:proofErr w:type="spellStart"/>
      <w:r w:rsidRPr="002947D8">
        <w:rPr>
          <w:rFonts w:ascii="Arial" w:hAnsi="Arial" w:cs="Arial"/>
          <w:sz w:val="16"/>
          <w:szCs w:val="16"/>
        </w:rPr>
        <w:t>Semiconductors</w:t>
      </w:r>
      <w:proofErr w:type="spellEnd"/>
      <w:r w:rsidRPr="002947D8">
        <w:rPr>
          <w:rFonts w:ascii="Arial" w:hAnsi="Arial" w:cs="Arial"/>
          <w:sz w:val="16"/>
          <w:szCs w:val="16"/>
        </w:rPr>
        <w:t xml:space="preserve"> permet des connexions et une infrastructure sécurisées pour un monde plus intelligent, en proposant des solutions qui facilitent la vie, la rendent meilleure et plus sûre. En tant que leader mondial des solutions de connectivité sécurisée pour les applications intégrées, NXP est le moteur de l'innovation sur les marchés des véhicules connectés sécurisés, de la sécurité de bout en bout et de la confidentialité et des solutions connectées intelligentes. S'appuyant sur plus de 60 années d'expérience et d'expertise combinées, la société emploie 30 000 employés dans plus de 30 pays et a réalisé un chiffre d'affaires de 9,41 milliards de dollars en 2018.</w:t>
      </w:r>
    </w:p>
    <w:p w:rsidR="002947D8" w:rsidRPr="002947D8" w:rsidRDefault="002947D8" w:rsidP="00953DE9">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6D796F">
      <w:pPr>
        <w:pStyle w:val="Standard1"/>
        <w:spacing w:after="57" w:line="200" w:lineRule="atLeast"/>
        <w:rPr>
          <w:rFonts w:ascii="Arial" w:hAnsi="Arial" w:cs="Arial"/>
          <w:i/>
          <w:iCs/>
          <w:sz w:val="18"/>
          <w:szCs w:val="18"/>
        </w:rPr>
      </w:pPr>
    </w:p>
    <w:sectPr w:rsidR="003E417C" w:rsidRPr="00EE168D" w:rsidSect="00AB0355">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F629E"/>
    <w:rsid w:val="00001439"/>
    <w:rsid w:val="00001A47"/>
    <w:rsid w:val="00003F24"/>
    <w:rsid w:val="00012A2A"/>
    <w:rsid w:val="00016712"/>
    <w:rsid w:val="0002224C"/>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930"/>
    <w:rsid w:val="000E519E"/>
    <w:rsid w:val="000F3F26"/>
    <w:rsid w:val="000F54CE"/>
    <w:rsid w:val="00106386"/>
    <w:rsid w:val="00110FAD"/>
    <w:rsid w:val="001137E5"/>
    <w:rsid w:val="0012566D"/>
    <w:rsid w:val="0013281A"/>
    <w:rsid w:val="00137807"/>
    <w:rsid w:val="0014650B"/>
    <w:rsid w:val="00147263"/>
    <w:rsid w:val="00151515"/>
    <w:rsid w:val="00155D90"/>
    <w:rsid w:val="00162401"/>
    <w:rsid w:val="00163398"/>
    <w:rsid w:val="00172277"/>
    <w:rsid w:val="0017410F"/>
    <w:rsid w:val="001905A2"/>
    <w:rsid w:val="0019114D"/>
    <w:rsid w:val="00191380"/>
    <w:rsid w:val="00197695"/>
    <w:rsid w:val="001A1BA1"/>
    <w:rsid w:val="001A6ADD"/>
    <w:rsid w:val="001B5B42"/>
    <w:rsid w:val="001B6FD9"/>
    <w:rsid w:val="001B7296"/>
    <w:rsid w:val="001B7853"/>
    <w:rsid w:val="001C20A1"/>
    <w:rsid w:val="001C3873"/>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87416"/>
    <w:rsid w:val="00287EDF"/>
    <w:rsid w:val="002907A0"/>
    <w:rsid w:val="002947D8"/>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D1AB7"/>
    <w:rsid w:val="003D7B4E"/>
    <w:rsid w:val="003E2CB2"/>
    <w:rsid w:val="003E2E69"/>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71579"/>
    <w:rsid w:val="00481B6D"/>
    <w:rsid w:val="0048255A"/>
    <w:rsid w:val="00484457"/>
    <w:rsid w:val="004A0CDB"/>
    <w:rsid w:val="004A346D"/>
    <w:rsid w:val="004A5548"/>
    <w:rsid w:val="004A6334"/>
    <w:rsid w:val="004A70B9"/>
    <w:rsid w:val="004B6569"/>
    <w:rsid w:val="004C6334"/>
    <w:rsid w:val="004D31A5"/>
    <w:rsid w:val="004D58FC"/>
    <w:rsid w:val="004E0428"/>
    <w:rsid w:val="004F5C1B"/>
    <w:rsid w:val="00510EBF"/>
    <w:rsid w:val="0051162D"/>
    <w:rsid w:val="00512A7E"/>
    <w:rsid w:val="005147B6"/>
    <w:rsid w:val="0051637A"/>
    <w:rsid w:val="00522BE7"/>
    <w:rsid w:val="005345E6"/>
    <w:rsid w:val="005451DE"/>
    <w:rsid w:val="005511F3"/>
    <w:rsid w:val="005525BE"/>
    <w:rsid w:val="00554E11"/>
    <w:rsid w:val="00562798"/>
    <w:rsid w:val="00563030"/>
    <w:rsid w:val="005657F3"/>
    <w:rsid w:val="00570403"/>
    <w:rsid w:val="0057426E"/>
    <w:rsid w:val="00577B2F"/>
    <w:rsid w:val="00590CEA"/>
    <w:rsid w:val="005A7982"/>
    <w:rsid w:val="005A7D2D"/>
    <w:rsid w:val="005B0B52"/>
    <w:rsid w:val="005B1BB1"/>
    <w:rsid w:val="005B3F2F"/>
    <w:rsid w:val="005B4C13"/>
    <w:rsid w:val="005B54A1"/>
    <w:rsid w:val="005C1BE0"/>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96F"/>
    <w:rsid w:val="006D7BCA"/>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803B4"/>
    <w:rsid w:val="007901EA"/>
    <w:rsid w:val="00796431"/>
    <w:rsid w:val="00796DD7"/>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6A1E"/>
    <w:rsid w:val="00824F19"/>
    <w:rsid w:val="008266EC"/>
    <w:rsid w:val="00833148"/>
    <w:rsid w:val="008340E4"/>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6614"/>
    <w:rsid w:val="008B0718"/>
    <w:rsid w:val="008B2551"/>
    <w:rsid w:val="008B2E08"/>
    <w:rsid w:val="008B303E"/>
    <w:rsid w:val="008C0281"/>
    <w:rsid w:val="008D76BE"/>
    <w:rsid w:val="008F3D96"/>
    <w:rsid w:val="009046DE"/>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33DAD"/>
    <w:rsid w:val="00A37DC8"/>
    <w:rsid w:val="00A442BD"/>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7F46"/>
    <w:rsid w:val="00AB0355"/>
    <w:rsid w:val="00AC3A1E"/>
    <w:rsid w:val="00AD12EC"/>
    <w:rsid w:val="00AE79F6"/>
    <w:rsid w:val="00AF08F9"/>
    <w:rsid w:val="00AF63CE"/>
    <w:rsid w:val="00AF6D37"/>
    <w:rsid w:val="00B04B80"/>
    <w:rsid w:val="00B07862"/>
    <w:rsid w:val="00B10EA2"/>
    <w:rsid w:val="00B22D27"/>
    <w:rsid w:val="00B27A3E"/>
    <w:rsid w:val="00B4068B"/>
    <w:rsid w:val="00B4396B"/>
    <w:rsid w:val="00B44C03"/>
    <w:rsid w:val="00B46CE1"/>
    <w:rsid w:val="00B56888"/>
    <w:rsid w:val="00B633B8"/>
    <w:rsid w:val="00B66763"/>
    <w:rsid w:val="00B70A31"/>
    <w:rsid w:val="00B714C2"/>
    <w:rsid w:val="00BB1438"/>
    <w:rsid w:val="00BC155A"/>
    <w:rsid w:val="00BC4704"/>
    <w:rsid w:val="00BC5ACE"/>
    <w:rsid w:val="00BC7B55"/>
    <w:rsid w:val="00BD2788"/>
    <w:rsid w:val="00BD2887"/>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82A87"/>
    <w:rsid w:val="00C857A9"/>
    <w:rsid w:val="00C87478"/>
    <w:rsid w:val="00C93A34"/>
    <w:rsid w:val="00CA293C"/>
    <w:rsid w:val="00CA5D46"/>
    <w:rsid w:val="00CB608C"/>
    <w:rsid w:val="00CB6E12"/>
    <w:rsid w:val="00CC4274"/>
    <w:rsid w:val="00CC5DAC"/>
    <w:rsid w:val="00CC760F"/>
    <w:rsid w:val="00CD3883"/>
    <w:rsid w:val="00CD6C3B"/>
    <w:rsid w:val="00CD6C8A"/>
    <w:rsid w:val="00CE6F15"/>
    <w:rsid w:val="00D001AF"/>
    <w:rsid w:val="00D06819"/>
    <w:rsid w:val="00D14D32"/>
    <w:rsid w:val="00D238BF"/>
    <w:rsid w:val="00D24DB6"/>
    <w:rsid w:val="00D326E0"/>
    <w:rsid w:val="00D3464E"/>
    <w:rsid w:val="00D35D22"/>
    <w:rsid w:val="00D37FB3"/>
    <w:rsid w:val="00D4355E"/>
    <w:rsid w:val="00D552E6"/>
    <w:rsid w:val="00D63160"/>
    <w:rsid w:val="00D76276"/>
    <w:rsid w:val="00D83727"/>
    <w:rsid w:val="00D9493A"/>
    <w:rsid w:val="00D9513E"/>
    <w:rsid w:val="00D95544"/>
    <w:rsid w:val="00D96975"/>
    <w:rsid w:val="00DA2E86"/>
    <w:rsid w:val="00DA4BAF"/>
    <w:rsid w:val="00DA55E6"/>
    <w:rsid w:val="00DA7371"/>
    <w:rsid w:val="00DB4203"/>
    <w:rsid w:val="00DB4312"/>
    <w:rsid w:val="00DB52D4"/>
    <w:rsid w:val="00DC586F"/>
    <w:rsid w:val="00DC6E88"/>
    <w:rsid w:val="00DD28E1"/>
    <w:rsid w:val="00DD5315"/>
    <w:rsid w:val="00DE7508"/>
    <w:rsid w:val="00DF45C3"/>
    <w:rsid w:val="00DF4DC0"/>
    <w:rsid w:val="00DF645D"/>
    <w:rsid w:val="00DF7450"/>
    <w:rsid w:val="00DF79C0"/>
    <w:rsid w:val="00E10FA4"/>
    <w:rsid w:val="00E16E7F"/>
    <w:rsid w:val="00E228B5"/>
    <w:rsid w:val="00E265C4"/>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65359"/>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B7296"/>
    <w:pPr>
      <w:suppressAutoHyphens/>
    </w:pPr>
    <w:rPr>
      <w:sz w:val="24"/>
      <w:szCs w:val="24"/>
    </w:rPr>
  </w:style>
  <w:style w:type="paragraph" w:styleId="berschrift1">
    <w:name w:val="heading 1"/>
    <w:basedOn w:val="Standard"/>
    <w:next w:val="berschrift2"/>
    <w:qFormat/>
    <w:rsid w:val="001B7296"/>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1B7296"/>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1B7296"/>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1B7296"/>
  </w:style>
  <w:style w:type="character" w:customStyle="1" w:styleId="Absatzstandardschriftart">
    <w:name w:val="Absatzstandardschriftart"/>
    <w:rsid w:val="001B7296"/>
  </w:style>
  <w:style w:type="character" w:customStyle="1" w:styleId="WW-Absatz-Standardschriftart">
    <w:name w:val="WW-Absatz-Standardschriftart"/>
    <w:rsid w:val="001B7296"/>
  </w:style>
  <w:style w:type="character" w:customStyle="1" w:styleId="WW-Absatz-Standardschriftart1">
    <w:name w:val="WW-Absatz-Standardschriftart1"/>
    <w:rsid w:val="001B7296"/>
  </w:style>
  <w:style w:type="character" w:customStyle="1" w:styleId="WW-Absatz-Standardschriftart11">
    <w:name w:val="WW-Absatz-Standardschriftart11"/>
    <w:rsid w:val="001B7296"/>
  </w:style>
  <w:style w:type="character" w:customStyle="1" w:styleId="WW-Absatz-Standardschriftart111">
    <w:name w:val="WW-Absatz-Standardschriftart111"/>
    <w:rsid w:val="001B7296"/>
  </w:style>
  <w:style w:type="character" w:customStyle="1" w:styleId="WW-Absatz-Standardschriftart1111">
    <w:name w:val="WW-Absatz-Standardschriftart1111"/>
    <w:rsid w:val="001B7296"/>
  </w:style>
  <w:style w:type="character" w:customStyle="1" w:styleId="Standardstycketeckensnitt1">
    <w:name w:val="Standardstycketeckensnitt1"/>
    <w:rsid w:val="001B7296"/>
  </w:style>
  <w:style w:type="character" w:customStyle="1" w:styleId="Absatz-Standardschriftart1">
    <w:name w:val="Absatz-Standardschriftart1"/>
    <w:rsid w:val="001B7296"/>
  </w:style>
  <w:style w:type="character" w:customStyle="1" w:styleId="WW-Absatz-Standardschriftart11111">
    <w:name w:val="WW-Absatz-Standardschriftart11111"/>
    <w:rsid w:val="001B7296"/>
  </w:style>
  <w:style w:type="character" w:customStyle="1" w:styleId="WW-Absatz-Standardschriftart111111">
    <w:name w:val="WW-Absatz-Standardschriftart111111"/>
    <w:rsid w:val="001B7296"/>
  </w:style>
  <w:style w:type="character" w:customStyle="1" w:styleId="WW-Absatz-Standardschriftart1111111">
    <w:name w:val="WW-Absatz-Standardschriftart1111111"/>
    <w:rsid w:val="001B7296"/>
  </w:style>
  <w:style w:type="character" w:customStyle="1" w:styleId="WW-Absatz-Standardschriftart11111111">
    <w:name w:val="WW-Absatz-Standardschriftart11111111"/>
    <w:rsid w:val="001B7296"/>
  </w:style>
  <w:style w:type="character" w:customStyle="1" w:styleId="WW-Absatz-Standardschriftart111111111">
    <w:name w:val="WW-Absatz-Standardschriftart111111111"/>
    <w:rsid w:val="001B7296"/>
  </w:style>
  <w:style w:type="character" w:customStyle="1" w:styleId="DefaultParagraphFont1">
    <w:name w:val="Default Paragraph Font1"/>
    <w:rsid w:val="001B7296"/>
  </w:style>
  <w:style w:type="character" w:customStyle="1" w:styleId="WW-Absatz-Standardschriftart1111111111">
    <w:name w:val="WW-Absatz-Standardschriftart1111111111"/>
    <w:rsid w:val="001B7296"/>
  </w:style>
  <w:style w:type="character" w:customStyle="1" w:styleId="WW-Absatz-Standardschriftart11111111111">
    <w:name w:val="WW-Absatz-Standardschriftart11111111111"/>
    <w:rsid w:val="001B7296"/>
  </w:style>
  <w:style w:type="character" w:customStyle="1" w:styleId="WW-Absatz-Standardschriftart111111111111">
    <w:name w:val="WW-Absatz-Standardschriftart111111111111"/>
    <w:rsid w:val="001B7296"/>
  </w:style>
  <w:style w:type="character" w:customStyle="1" w:styleId="WW-Absatz-Standardschriftart1111111111111">
    <w:name w:val="WW-Absatz-Standardschriftart1111111111111"/>
    <w:rsid w:val="001B7296"/>
  </w:style>
  <w:style w:type="character" w:customStyle="1" w:styleId="WW-Absatz-Standardschriftart11111111111111">
    <w:name w:val="WW-Absatz-Standardschriftart11111111111111"/>
    <w:rsid w:val="001B7296"/>
  </w:style>
  <w:style w:type="character" w:customStyle="1" w:styleId="WW-Absatz-Standardschriftart111111111111111">
    <w:name w:val="WW-Absatz-Standardschriftart111111111111111"/>
    <w:rsid w:val="001B7296"/>
  </w:style>
  <w:style w:type="character" w:customStyle="1" w:styleId="WW-Absatz-Standardschriftart1111111111111111">
    <w:name w:val="WW-Absatz-Standardschriftart1111111111111111"/>
    <w:rsid w:val="001B7296"/>
  </w:style>
  <w:style w:type="character" w:styleId="Hyperlink">
    <w:name w:val="Hyperlink"/>
    <w:uiPriority w:val="99"/>
    <w:rsid w:val="001B7296"/>
    <w:rPr>
      <w:color w:val="0000FF"/>
      <w:u w:val="single"/>
    </w:rPr>
  </w:style>
  <w:style w:type="character" w:customStyle="1" w:styleId="Kommentarzeichen1">
    <w:name w:val="Kommentarzeichen1"/>
    <w:rsid w:val="001B7296"/>
    <w:rPr>
      <w:sz w:val="16"/>
      <w:szCs w:val="16"/>
    </w:rPr>
  </w:style>
  <w:style w:type="character" w:customStyle="1" w:styleId="Char1">
    <w:name w:val="Char1"/>
    <w:rsid w:val="001B7296"/>
    <w:rPr>
      <w:rFonts w:ascii="Arial" w:hAnsi="Arial"/>
      <w:sz w:val="24"/>
      <w:szCs w:val="24"/>
      <w:lang w:val="fr-FR" w:eastAsia="fr-FR" w:bidi="fr-FR"/>
    </w:rPr>
  </w:style>
  <w:style w:type="character" w:customStyle="1" w:styleId="WW8Num18z0">
    <w:name w:val="WW8Num18z0"/>
    <w:rsid w:val="001B7296"/>
    <w:rPr>
      <w:rFonts w:ascii="Symbol" w:hAnsi="Symbol"/>
    </w:rPr>
  </w:style>
  <w:style w:type="character" w:customStyle="1" w:styleId="WW8Num18z1">
    <w:name w:val="WW8Num18z1"/>
    <w:rsid w:val="001B7296"/>
    <w:rPr>
      <w:rFonts w:ascii="Courier New" w:hAnsi="Courier New" w:cs="Courier New"/>
    </w:rPr>
  </w:style>
  <w:style w:type="character" w:customStyle="1" w:styleId="WW8Num18z2">
    <w:name w:val="WW8Num18z2"/>
    <w:rsid w:val="001B7296"/>
    <w:rPr>
      <w:rFonts w:ascii="Wingdings" w:hAnsi="Wingdings"/>
    </w:rPr>
  </w:style>
  <w:style w:type="character" w:customStyle="1" w:styleId="NichtproportionalerText">
    <w:name w:val="Nichtproportionaler Text"/>
    <w:rsid w:val="001B7296"/>
    <w:rPr>
      <w:rFonts w:ascii="Courier New" w:eastAsia="Courier New" w:hAnsi="Courier New" w:cs="Courier New"/>
    </w:rPr>
  </w:style>
  <w:style w:type="paragraph" w:customStyle="1" w:styleId="berschrift">
    <w:name w:val="Überschrift"/>
    <w:basedOn w:val="Standard"/>
    <w:next w:val="Textkrper"/>
    <w:rsid w:val="001B7296"/>
    <w:pPr>
      <w:keepNext/>
      <w:spacing w:before="240" w:after="120"/>
    </w:pPr>
    <w:rPr>
      <w:rFonts w:ascii="Arial" w:eastAsia="MS Mincho" w:hAnsi="Arial" w:cs="Tahoma"/>
      <w:sz w:val="28"/>
      <w:szCs w:val="28"/>
    </w:rPr>
  </w:style>
  <w:style w:type="paragraph" w:styleId="Textkrper">
    <w:name w:val="Body Text"/>
    <w:basedOn w:val="Standard"/>
    <w:rsid w:val="001B7296"/>
    <w:pPr>
      <w:spacing w:after="120"/>
    </w:pPr>
  </w:style>
  <w:style w:type="paragraph" w:styleId="Liste">
    <w:name w:val="List"/>
    <w:basedOn w:val="Textkrper"/>
    <w:rsid w:val="001B7296"/>
    <w:rPr>
      <w:rFonts w:ascii="Arial" w:hAnsi="Arial" w:cs="Tahoma"/>
    </w:rPr>
  </w:style>
  <w:style w:type="paragraph" w:customStyle="1" w:styleId="Beschriftung2">
    <w:name w:val="Beschriftung2"/>
    <w:basedOn w:val="Standard"/>
    <w:rsid w:val="001B7296"/>
    <w:pPr>
      <w:suppressLineNumbers/>
      <w:spacing w:before="120" w:after="120"/>
    </w:pPr>
    <w:rPr>
      <w:rFonts w:cs="Mangal"/>
      <w:i/>
      <w:iCs/>
    </w:rPr>
  </w:style>
  <w:style w:type="paragraph" w:customStyle="1" w:styleId="Verzeichnis">
    <w:name w:val="Verzeichnis"/>
    <w:basedOn w:val="Standard"/>
    <w:rsid w:val="001B7296"/>
    <w:pPr>
      <w:suppressLineNumbers/>
    </w:pPr>
    <w:rPr>
      <w:rFonts w:ascii="Arial" w:hAnsi="Arial" w:cs="Tahoma"/>
    </w:rPr>
  </w:style>
  <w:style w:type="paragraph" w:customStyle="1" w:styleId="Beschriftung1">
    <w:name w:val="Beschriftung1"/>
    <w:basedOn w:val="Standard"/>
    <w:rsid w:val="001B7296"/>
    <w:pPr>
      <w:suppressLineNumbers/>
      <w:spacing w:before="120" w:after="120"/>
    </w:pPr>
    <w:rPr>
      <w:rFonts w:ascii="Arial" w:hAnsi="Arial" w:cs="Tahoma"/>
      <w:i/>
      <w:iCs/>
    </w:rPr>
  </w:style>
  <w:style w:type="paragraph" w:customStyle="1" w:styleId="Pressemitteilung">
    <w:name w:val="Pressemitteilung"/>
    <w:basedOn w:val="Standard"/>
    <w:rsid w:val="001B7296"/>
    <w:pPr>
      <w:spacing w:before="360" w:after="240"/>
    </w:pPr>
    <w:rPr>
      <w:rFonts w:ascii="Arial" w:hAnsi="Arial"/>
      <w:b/>
      <w:szCs w:val="20"/>
      <w:u w:val="single"/>
    </w:rPr>
  </w:style>
  <w:style w:type="paragraph" w:customStyle="1" w:styleId="Kommentartext1">
    <w:name w:val="Kommentartext1"/>
    <w:basedOn w:val="Standard"/>
    <w:rsid w:val="001B7296"/>
    <w:rPr>
      <w:rFonts w:ascii="Arial" w:hAnsi="Arial"/>
    </w:rPr>
  </w:style>
  <w:style w:type="paragraph" w:customStyle="1" w:styleId="Ballongtext1">
    <w:name w:val="Ballongtext1"/>
    <w:basedOn w:val="Standard"/>
    <w:rsid w:val="001B7296"/>
    <w:rPr>
      <w:rFonts w:ascii="Tahoma" w:hAnsi="Tahoma" w:cs="Tahoma"/>
      <w:sz w:val="16"/>
      <w:szCs w:val="16"/>
    </w:rPr>
  </w:style>
  <w:style w:type="paragraph" w:customStyle="1" w:styleId="TabellenInhalt">
    <w:name w:val="Tabellen Inhalt"/>
    <w:basedOn w:val="Standard"/>
    <w:rsid w:val="001B7296"/>
    <w:pPr>
      <w:suppressLineNumbers/>
    </w:pPr>
  </w:style>
  <w:style w:type="paragraph" w:customStyle="1" w:styleId="Tabellenberschrift">
    <w:name w:val="Tabellen Überschrift"/>
    <w:basedOn w:val="TabellenInhalt"/>
    <w:rsid w:val="001B7296"/>
    <w:pPr>
      <w:jc w:val="center"/>
    </w:pPr>
    <w:rPr>
      <w:b/>
      <w:bCs/>
    </w:rPr>
  </w:style>
  <w:style w:type="paragraph" w:customStyle="1" w:styleId="Kommentartext2">
    <w:name w:val="Kommentartext2"/>
    <w:basedOn w:val="Standard"/>
    <w:rsid w:val="001B7296"/>
  </w:style>
  <w:style w:type="paragraph" w:customStyle="1" w:styleId="VorformatierterText">
    <w:name w:val="Vorformatierter Text"/>
    <w:basedOn w:val="Standard"/>
    <w:rsid w:val="001B7296"/>
    <w:rPr>
      <w:rFonts w:ascii="Courier New" w:eastAsia="Courier New" w:hAnsi="Courier New" w:cs="Courier New"/>
      <w:sz w:val="20"/>
      <w:szCs w:val="20"/>
    </w:rPr>
  </w:style>
  <w:style w:type="paragraph" w:customStyle="1" w:styleId="Text">
    <w:name w:val="Text"/>
    <w:basedOn w:val="Standard"/>
    <w:rsid w:val="001B7296"/>
    <w:pPr>
      <w:spacing w:before="120" w:line="360" w:lineRule="auto"/>
    </w:pPr>
  </w:style>
  <w:style w:type="paragraph" w:customStyle="1" w:styleId="BalloonText1">
    <w:name w:val="Balloon Text1"/>
    <w:basedOn w:val="Standard"/>
    <w:rsid w:val="001B7296"/>
    <w:rPr>
      <w:rFonts w:ascii="Tahoma" w:hAnsi="Tahoma" w:cs="Tahoma"/>
      <w:sz w:val="16"/>
      <w:szCs w:val="16"/>
    </w:rPr>
  </w:style>
  <w:style w:type="paragraph" w:customStyle="1" w:styleId="Standard1">
    <w:name w:val="Standard1"/>
    <w:rsid w:val="001B7296"/>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rPr>
  </w:style>
  <w:style w:type="paragraph" w:styleId="Heading1">
    <w:name w:val="heading 1"/>
    <w:basedOn w:val="Normal"/>
    <w:next w:val="Heading2"/>
    <w:qFormat/>
    <w:pPr>
      <w:keepNext/>
      <w:numPr>
        <w:numId w:val="1"/>
      </w:numPr>
      <w:tabs>
        <w:tab w:val="left" w:pos="0"/>
      </w:tabs>
      <w:spacing w:before="120" w:after="120" w:line="400" w:lineRule="atLeast"/>
      <w:jc w:val="center"/>
      <w:outlineLvl w:val="0"/>
    </w:pPr>
    <w:rPr>
      <w:b/>
      <w:bCs/>
      <w:kern w:val="1"/>
      <w:sz w:val="30"/>
      <w:szCs w:val="30"/>
    </w:rPr>
  </w:style>
  <w:style w:type="paragraph" w:styleId="Heading2">
    <w:name w:val="heading 2"/>
    <w:basedOn w:val="Normal"/>
    <w:next w:val="Normal"/>
    <w:qFormat/>
    <w:pPr>
      <w:keepNext/>
      <w:numPr>
        <w:ilvl w:val="1"/>
        <w:numId w:val="1"/>
      </w:numPr>
      <w:tabs>
        <w:tab w:val="left" w:pos="0"/>
      </w:tabs>
      <w:spacing w:before="120" w:after="120" w:line="320" w:lineRule="atLeast"/>
      <w:jc w:val="center"/>
      <w:outlineLvl w:val="1"/>
    </w:pPr>
    <w:rPr>
      <w:b/>
      <w:bCs/>
    </w:rPr>
  </w:style>
  <w:style w:type="paragraph" w:styleId="Heading3">
    <w:name w:val="heading 3"/>
    <w:basedOn w:val="Normal"/>
    <w:next w:val="Normal"/>
    <w:qFormat/>
    <w:pPr>
      <w:keepNext/>
      <w:numPr>
        <w:ilvl w:val="2"/>
        <w:numId w:val="1"/>
      </w:numPr>
      <w:spacing w:before="180" w:after="60"/>
      <w:outlineLvl w:val="2"/>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customStyle="1" w:styleId="Beschriftung2">
    <w:name w:val="Beschriftung2"/>
    <w:basedOn w:val="Normal"/>
    <w:pPr>
      <w:suppressLineNumbers/>
      <w:spacing w:before="120" w:after="120"/>
    </w:pPr>
    <w:rPr>
      <w:rFonts w:cs="Mangal"/>
      <w:i/>
      <w:iCs/>
    </w:rPr>
  </w:style>
  <w:style w:type="paragraph" w:customStyle="1" w:styleId="Verzeichnis">
    <w:name w:val="Verzeichnis"/>
    <w:basedOn w:val="Normal"/>
    <w:pPr>
      <w:suppressLineNumbers/>
    </w:pPr>
    <w:rPr>
      <w:rFonts w:ascii="Arial" w:hAnsi="Arial" w:cs="Tahoma"/>
    </w:rPr>
  </w:style>
  <w:style w:type="paragraph" w:customStyle="1" w:styleId="Beschriftung1">
    <w:name w:val="Beschriftung1"/>
    <w:basedOn w:val="Normal"/>
    <w:pPr>
      <w:suppressLineNumbers/>
      <w:spacing w:before="120" w:after="120"/>
    </w:pPr>
    <w:rPr>
      <w:rFonts w:ascii="Arial" w:hAnsi="Arial" w:cs="Tahoma"/>
      <w:i/>
      <w:iCs/>
    </w:rPr>
  </w:style>
  <w:style w:type="paragraph" w:customStyle="1" w:styleId="Pressemitteilung">
    <w:name w:val="Pressemitteilung"/>
    <w:basedOn w:val="Normal"/>
    <w:pPr>
      <w:spacing w:before="360" w:after="240"/>
    </w:pPr>
    <w:rPr>
      <w:rFonts w:ascii="Arial" w:hAnsi="Arial"/>
      <w:b/>
      <w:szCs w:val="20"/>
      <w:u w:val="single"/>
    </w:rPr>
  </w:style>
  <w:style w:type="paragraph" w:customStyle="1" w:styleId="Kommentartext1">
    <w:name w:val="Kommentartext1"/>
    <w:basedOn w:val="Normal"/>
    <w:rPr>
      <w:rFonts w:ascii="Arial" w:hAnsi="Arial"/>
    </w:rPr>
  </w:style>
  <w:style w:type="paragraph" w:customStyle="1" w:styleId="Ballongtext1">
    <w:name w:val="Ballongtext1"/>
    <w:basedOn w:val="Normal"/>
    <w:rPr>
      <w:rFonts w:ascii="Tahoma" w:hAnsi="Tahoma" w:cs="Tahoma"/>
      <w:sz w:val="16"/>
      <w:szCs w:val="16"/>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Normal"/>
  </w:style>
  <w:style w:type="paragraph" w:customStyle="1" w:styleId="VorformatierterText">
    <w:name w:val="Vorformatierter Text"/>
    <w:basedOn w:val="Normal"/>
    <w:rPr>
      <w:rFonts w:ascii="Courier New" w:eastAsia="Courier New" w:hAnsi="Courier New" w:cs="Courier New"/>
      <w:sz w:val="20"/>
      <w:szCs w:val="20"/>
    </w:rPr>
  </w:style>
  <w:style w:type="paragraph" w:customStyle="1" w:styleId="Text">
    <w:name w:val="Text"/>
    <w:basedOn w:val="Normal"/>
    <w:pPr>
      <w:spacing w:before="120" w:line="360" w:lineRule="auto"/>
    </w:pPr>
  </w:style>
  <w:style w:type="paragraph" w:customStyle="1" w:styleId="BalloonText1">
    <w:name w:val="Balloon Text1"/>
    <w:basedOn w:val="Normal"/>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BalloonText">
    <w:name w:val="Balloon Text"/>
    <w:basedOn w:val="Normal"/>
    <w:semiHidden/>
    <w:rsid w:val="00320B55"/>
    <w:rPr>
      <w:rFonts w:ascii="Tahoma" w:hAnsi="Tahoma" w:cs="Tahoma"/>
      <w:sz w:val="16"/>
      <w:szCs w:val="16"/>
    </w:rPr>
  </w:style>
  <w:style w:type="character" w:customStyle="1" w:styleId="apple-converted-space">
    <w:name w:val="apple-converted-space"/>
    <w:basedOn w:val="DefaultParagraphFont"/>
    <w:rsid w:val="00723E51"/>
  </w:style>
  <w:style w:type="character" w:styleId="Emphasis">
    <w:name w:val="Emphasis"/>
    <w:qFormat/>
    <w:rsid w:val="00723E51"/>
    <w:rPr>
      <w:i/>
      <w:iCs/>
    </w:rPr>
  </w:style>
  <w:style w:type="character" w:styleId="CommentReference">
    <w:name w:val="annotation reference"/>
    <w:uiPriority w:val="99"/>
    <w:semiHidden/>
    <w:unhideWhenUsed/>
    <w:rsid w:val="00106386"/>
    <w:rPr>
      <w:sz w:val="16"/>
      <w:szCs w:val="16"/>
    </w:rPr>
  </w:style>
  <w:style w:type="paragraph" w:styleId="CommentText">
    <w:name w:val="annotation text"/>
    <w:basedOn w:val="Normal"/>
    <w:link w:val="KommentartextZchn"/>
    <w:uiPriority w:val="99"/>
    <w:semiHidden/>
    <w:unhideWhenUsed/>
    <w:rsid w:val="00106386"/>
    <w:rPr>
      <w:sz w:val="20"/>
      <w:szCs w:val="20"/>
    </w:rPr>
  </w:style>
  <w:style w:type="character" w:customStyle="1" w:styleId="KommentartextZchn">
    <w:name w:val="Kommentartext Zchn"/>
    <w:link w:val="CommentText"/>
    <w:uiPriority w:val="99"/>
    <w:semiHidden/>
    <w:rsid w:val="00106386"/>
    <w:rPr>
      <w:lang w:val="fr-FR" w:eastAsia="fr-FR"/>
    </w:rPr>
  </w:style>
  <w:style w:type="paragraph" w:styleId="CommentSubject">
    <w:name w:val="annotation subject"/>
    <w:basedOn w:val="CommentText"/>
    <w:next w:val="CommentText"/>
    <w:link w:val="KommentarthemaZchn"/>
    <w:uiPriority w:val="99"/>
    <w:semiHidden/>
    <w:unhideWhenUsed/>
    <w:rsid w:val="00106386"/>
    <w:rPr>
      <w:b/>
      <w:bCs/>
    </w:rPr>
  </w:style>
  <w:style w:type="character" w:customStyle="1" w:styleId="KommentarthemaZchn">
    <w:name w:val="Kommentarthema Zchn"/>
    <w:link w:val="CommentSubject"/>
    <w:uiPriority w:val="99"/>
    <w:semiHidden/>
    <w:rsid w:val="00106386"/>
    <w:rPr>
      <w:b/>
      <w:bCs/>
      <w:lang w:val="fr-FR" w:eastAsia="fr-FR"/>
    </w:rPr>
  </w:style>
  <w:style w:type="paragraph" w:styleId="Revision">
    <w:name w:val="Revision"/>
    <w:hidden/>
    <w:uiPriority w:val="99"/>
    <w:semiHidden/>
    <w:rsid w:val="005657F3"/>
    <w:rPr>
      <w:sz w:val="24"/>
      <w:szCs w:val="24"/>
    </w:rPr>
  </w:style>
  <w:style w:type="character" w:styleId="FollowedHyperlink">
    <w:name w:val="FollowedHyperlink"/>
    <w:basedOn w:val="DefaultParagraphFont"/>
    <w:uiPriority w:val="99"/>
    <w:semiHidden/>
    <w:unhideWhenUsed/>
    <w:rsid w:val="00C316B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www.facebook.com/Congatec"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fr/congatec/communiques-de-presse.html" TargetMode="External"/><Relationship Id="rId5" Type="http://schemas.openxmlformats.org/officeDocument/2006/relationships/image" Target="media/image1.png"/><Relationship Id="rId15" Type="http://schemas.openxmlformats.org/officeDocument/2006/relationships/hyperlink" Target="http://www.youtube.com/congatecAE"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1099</Words>
  <Characters>6927</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8010</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2</cp:revision>
  <cp:lastPrinted>2014-01-29T21:42:00Z</cp:lastPrinted>
  <dcterms:created xsi:type="dcterms:W3CDTF">2019-03-05T08:03:00Z</dcterms:created>
  <dcterms:modified xsi:type="dcterms:W3CDTF">2019-03-05T08:03:00Z</dcterms:modified>
</cp:coreProperties>
</file>