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8B39D8" w:rsidRDefault="006B69BF" w:rsidP="006B69BF">
      <w:pPr>
        <w:spacing w:after="120"/>
        <w:rPr>
          <w:rFonts w:ascii="Arial" w:eastAsia="Arial" w:hAnsi="Arial" w:cs="Arial"/>
          <w:b/>
          <w:sz w:val="20"/>
          <w:u w:val="single"/>
        </w:rPr>
      </w:pPr>
      <w:r w:rsidRPr="008B39D8">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8B39D8"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835"/>
        <w:gridCol w:w="2835"/>
      </w:tblGrid>
      <w:tr w:rsidR="006B69BF" w:rsidRPr="008B39D8" w:rsidTr="00F20795">
        <w:trPr>
          <w:trHeight w:val="270"/>
        </w:trPr>
        <w:tc>
          <w:tcPr>
            <w:tcW w:w="2835" w:type="dxa"/>
            <w:shd w:val="clear" w:color="auto" w:fill="auto"/>
          </w:tcPr>
          <w:p w:rsidR="006B69BF" w:rsidRPr="008B39D8" w:rsidRDefault="0037519A" w:rsidP="00F20795">
            <w:pPr>
              <w:pStyle w:val="Standard1"/>
              <w:snapToGrid w:val="0"/>
              <w:rPr>
                <w:rFonts w:ascii="Arial" w:hAnsi="Arial" w:cs="Arial"/>
                <w:b/>
                <w:sz w:val="18"/>
                <w:szCs w:val="18"/>
                <w:u w:val="single"/>
              </w:rPr>
            </w:pPr>
            <w:r w:rsidRPr="008B39D8">
              <w:rPr>
                <w:rFonts w:ascii="Arial" w:hAnsi="Arial" w:cs="Arial"/>
                <w:b/>
                <w:sz w:val="18"/>
                <w:u w:val="single"/>
              </w:rPr>
              <w:t>Contact pour les lecteurs</w:t>
            </w:r>
            <w:r w:rsidR="00DB4312" w:rsidRPr="008B39D8">
              <w:rPr>
                <w:rFonts w:ascii="Arial" w:hAnsi="Arial" w:cs="Arial"/>
                <w:b/>
                <w:sz w:val="18"/>
                <w:u w:val="single"/>
              </w:rPr>
              <w:t xml:space="preserve"> </w:t>
            </w:r>
            <w:r w:rsidR="006B69BF" w:rsidRPr="008B39D8">
              <w:rPr>
                <w:rFonts w:ascii="Arial" w:hAnsi="Arial" w:cs="Arial"/>
                <w:b/>
                <w:bCs/>
                <w:sz w:val="18"/>
                <w:szCs w:val="18"/>
                <w:u w:val="single"/>
                <w:lang w:val="en-US"/>
              </w:rPr>
              <w:t>:</w:t>
            </w:r>
          </w:p>
        </w:tc>
        <w:tc>
          <w:tcPr>
            <w:tcW w:w="2835" w:type="dxa"/>
            <w:shd w:val="clear" w:color="auto" w:fill="auto"/>
          </w:tcPr>
          <w:p w:rsidR="006B69BF" w:rsidRPr="008B39D8" w:rsidRDefault="00DB4312" w:rsidP="00431C0C">
            <w:pPr>
              <w:pStyle w:val="Standard1"/>
              <w:snapToGrid w:val="0"/>
              <w:rPr>
                <w:rFonts w:ascii="Arial" w:hAnsi="Arial" w:cs="Arial"/>
                <w:b/>
                <w:sz w:val="18"/>
                <w:szCs w:val="18"/>
                <w:u w:val="single"/>
              </w:rPr>
            </w:pPr>
            <w:r w:rsidRPr="008B39D8">
              <w:rPr>
                <w:rFonts w:ascii="Arial" w:hAnsi="Arial" w:cs="Arial"/>
                <w:b/>
                <w:sz w:val="18"/>
                <w:u w:val="single"/>
              </w:rPr>
              <w:t xml:space="preserve">Contact pour la presse </w:t>
            </w:r>
            <w:r w:rsidR="006B69BF" w:rsidRPr="008B39D8">
              <w:rPr>
                <w:rFonts w:ascii="Arial" w:hAnsi="Arial" w:cs="Arial"/>
                <w:b/>
                <w:sz w:val="18"/>
                <w:szCs w:val="18"/>
                <w:u w:val="single"/>
              </w:rPr>
              <w:t>:</w:t>
            </w:r>
          </w:p>
        </w:tc>
      </w:tr>
      <w:tr w:rsidR="006B69BF" w:rsidRPr="008B39D8" w:rsidTr="00F20795">
        <w:tblPrEx>
          <w:tblCellMar>
            <w:left w:w="70" w:type="dxa"/>
            <w:right w:w="70" w:type="dxa"/>
          </w:tblCellMar>
        </w:tblPrEx>
        <w:trPr>
          <w:trHeight w:val="227"/>
        </w:trPr>
        <w:tc>
          <w:tcPr>
            <w:tcW w:w="2835" w:type="dxa"/>
            <w:shd w:val="clear" w:color="auto" w:fill="auto"/>
          </w:tcPr>
          <w:p w:rsidR="006B69BF" w:rsidRPr="008B39D8" w:rsidRDefault="006B69BF" w:rsidP="00F20795">
            <w:pPr>
              <w:pStyle w:val="Standard1"/>
              <w:snapToGrid w:val="0"/>
              <w:spacing w:before="80"/>
              <w:rPr>
                <w:rFonts w:ascii="Arial" w:hAnsi="Arial" w:cs="Arial"/>
                <w:b/>
                <w:sz w:val="18"/>
                <w:szCs w:val="18"/>
              </w:rPr>
            </w:pPr>
            <w:r w:rsidRPr="008B39D8">
              <w:rPr>
                <w:rFonts w:ascii="Arial" w:hAnsi="Arial" w:cs="Arial"/>
                <w:b/>
                <w:sz w:val="18"/>
                <w:szCs w:val="18"/>
              </w:rPr>
              <w:t xml:space="preserve">congatec </w:t>
            </w:r>
            <w:r w:rsidR="00FB709D" w:rsidRPr="008B39D8">
              <w:rPr>
                <w:rFonts w:ascii="Arial" w:hAnsi="Arial" w:cs="Arial"/>
                <w:b/>
                <w:sz w:val="18"/>
                <w:szCs w:val="18"/>
              </w:rPr>
              <w:t>SAS</w:t>
            </w:r>
            <w:r w:rsidR="004A70B9" w:rsidRPr="008B39D8">
              <w:rPr>
                <w:rFonts w:ascii="Arial" w:hAnsi="Arial" w:cs="Arial"/>
                <w:b/>
                <w:sz w:val="18"/>
                <w:szCs w:val="18"/>
              </w:rPr>
              <w:t>.</w:t>
            </w:r>
          </w:p>
        </w:tc>
        <w:tc>
          <w:tcPr>
            <w:tcW w:w="2835" w:type="dxa"/>
            <w:shd w:val="clear" w:color="auto" w:fill="auto"/>
          </w:tcPr>
          <w:p w:rsidR="006B69BF" w:rsidRPr="008B39D8" w:rsidRDefault="006B69BF" w:rsidP="00431C0C">
            <w:pPr>
              <w:pStyle w:val="Standard1"/>
              <w:snapToGrid w:val="0"/>
              <w:spacing w:before="80"/>
              <w:rPr>
                <w:rFonts w:ascii="Arial" w:hAnsi="Arial" w:cs="Arial"/>
                <w:b/>
                <w:sz w:val="18"/>
                <w:szCs w:val="18"/>
              </w:rPr>
            </w:pPr>
            <w:r w:rsidRPr="008B39D8">
              <w:rPr>
                <w:rFonts w:ascii="Arial" w:hAnsi="Arial" w:cs="Arial"/>
                <w:b/>
                <w:sz w:val="18"/>
                <w:szCs w:val="18"/>
              </w:rPr>
              <w:t xml:space="preserve">SAMS Network </w:t>
            </w:r>
          </w:p>
        </w:tc>
      </w:tr>
      <w:tr w:rsidR="006B69BF" w:rsidRPr="008B39D8" w:rsidTr="00F20795">
        <w:tblPrEx>
          <w:tblCellMar>
            <w:left w:w="70" w:type="dxa"/>
            <w:right w:w="70" w:type="dxa"/>
          </w:tblCellMar>
        </w:tblPrEx>
        <w:trPr>
          <w:trHeight w:val="101"/>
        </w:trPr>
        <w:tc>
          <w:tcPr>
            <w:tcW w:w="2835" w:type="dxa"/>
            <w:shd w:val="clear" w:color="auto" w:fill="auto"/>
          </w:tcPr>
          <w:p w:rsidR="006B69BF" w:rsidRPr="008B39D8" w:rsidRDefault="00FB709D" w:rsidP="00F20795">
            <w:pPr>
              <w:pStyle w:val="Standard1"/>
              <w:tabs>
                <w:tab w:val="left" w:pos="1377"/>
              </w:tabs>
              <w:snapToGrid w:val="0"/>
              <w:spacing w:before="20"/>
              <w:rPr>
                <w:rFonts w:ascii="Arial" w:hAnsi="Arial" w:cs="Arial"/>
                <w:sz w:val="18"/>
                <w:szCs w:val="18"/>
              </w:rPr>
            </w:pPr>
            <w:r w:rsidRPr="008B39D8">
              <w:rPr>
                <w:rFonts w:ascii="Arial" w:hAnsi="Arial" w:cs="Arial"/>
                <w:sz w:val="18"/>
                <w:szCs w:val="18"/>
              </w:rPr>
              <w:t>Luc Beugin</w:t>
            </w:r>
          </w:p>
        </w:tc>
        <w:tc>
          <w:tcPr>
            <w:tcW w:w="2835" w:type="dxa"/>
            <w:shd w:val="clear" w:color="auto" w:fill="auto"/>
          </w:tcPr>
          <w:p w:rsidR="006B69BF" w:rsidRPr="008B39D8" w:rsidRDefault="006B69BF" w:rsidP="00431C0C">
            <w:pPr>
              <w:pStyle w:val="Standard1"/>
              <w:snapToGrid w:val="0"/>
              <w:spacing w:before="20"/>
              <w:rPr>
                <w:rFonts w:ascii="Arial" w:hAnsi="Arial" w:cs="Arial"/>
                <w:sz w:val="18"/>
                <w:szCs w:val="18"/>
              </w:rPr>
            </w:pPr>
            <w:r w:rsidRPr="008B39D8">
              <w:rPr>
                <w:rFonts w:ascii="Arial" w:hAnsi="Arial" w:cs="Arial"/>
                <w:sz w:val="18"/>
                <w:szCs w:val="18"/>
              </w:rPr>
              <w:t>Michael Hennen</w:t>
            </w:r>
          </w:p>
        </w:tc>
      </w:tr>
      <w:tr w:rsidR="006B69BF" w:rsidRPr="008B39D8" w:rsidTr="00F20795">
        <w:tblPrEx>
          <w:tblCellMar>
            <w:left w:w="70" w:type="dxa"/>
            <w:right w:w="70" w:type="dxa"/>
          </w:tblCellMar>
        </w:tblPrEx>
        <w:trPr>
          <w:trHeight w:val="227"/>
        </w:trPr>
        <w:tc>
          <w:tcPr>
            <w:tcW w:w="2835" w:type="dxa"/>
            <w:shd w:val="clear" w:color="auto" w:fill="auto"/>
          </w:tcPr>
          <w:p w:rsidR="006B69BF" w:rsidRPr="008B39D8" w:rsidRDefault="00BD5707" w:rsidP="00F20795">
            <w:pPr>
              <w:pStyle w:val="Standard1"/>
              <w:snapToGrid w:val="0"/>
              <w:spacing w:before="20"/>
              <w:rPr>
                <w:rFonts w:ascii="Arial" w:hAnsi="Arial" w:cs="Arial"/>
                <w:sz w:val="18"/>
                <w:szCs w:val="18"/>
              </w:rPr>
            </w:pPr>
            <w:r w:rsidRPr="008B39D8">
              <w:rPr>
                <w:rFonts w:ascii="Arial" w:hAnsi="Arial" w:cs="Arial"/>
                <w:sz w:val="18"/>
                <w:szCs w:val="18"/>
              </w:rPr>
              <w:t xml:space="preserve">Téléphone : </w:t>
            </w:r>
            <w:r w:rsidR="00FB709D" w:rsidRPr="008B39D8">
              <w:rPr>
                <w:rFonts w:ascii="Arial" w:hAnsi="Arial" w:cs="Arial"/>
                <w:sz w:val="18"/>
                <w:szCs w:val="18"/>
              </w:rPr>
              <w:t>+33 6 44 32 70 88</w:t>
            </w:r>
          </w:p>
        </w:tc>
        <w:tc>
          <w:tcPr>
            <w:tcW w:w="2835" w:type="dxa"/>
            <w:shd w:val="clear" w:color="auto" w:fill="auto"/>
          </w:tcPr>
          <w:p w:rsidR="006B69BF" w:rsidRPr="008B39D8" w:rsidRDefault="00563030" w:rsidP="00431C0C">
            <w:pPr>
              <w:pStyle w:val="Standard1"/>
              <w:snapToGrid w:val="0"/>
              <w:spacing w:before="20"/>
              <w:rPr>
                <w:rFonts w:ascii="Arial" w:hAnsi="Arial" w:cs="Arial"/>
                <w:sz w:val="18"/>
                <w:szCs w:val="18"/>
              </w:rPr>
            </w:pPr>
            <w:r w:rsidRPr="008B39D8">
              <w:rPr>
                <w:rFonts w:ascii="Arial" w:hAnsi="Arial" w:cs="Arial"/>
                <w:sz w:val="18"/>
                <w:szCs w:val="18"/>
              </w:rPr>
              <w:t xml:space="preserve">Téléphone </w:t>
            </w:r>
            <w:r w:rsidR="006B69BF" w:rsidRPr="008B39D8">
              <w:rPr>
                <w:rFonts w:ascii="Arial" w:hAnsi="Arial" w:cs="Arial"/>
                <w:sz w:val="18"/>
                <w:szCs w:val="18"/>
              </w:rPr>
              <w:t>: +49-2405-4526720</w:t>
            </w:r>
          </w:p>
        </w:tc>
      </w:tr>
      <w:tr w:rsidR="006B69BF" w:rsidRPr="008B39D8" w:rsidTr="00F20795">
        <w:tblPrEx>
          <w:tblCellMar>
            <w:left w:w="70" w:type="dxa"/>
            <w:right w:w="70" w:type="dxa"/>
          </w:tblCellMar>
        </w:tblPrEx>
        <w:trPr>
          <w:trHeight w:val="273"/>
        </w:trPr>
        <w:tc>
          <w:tcPr>
            <w:tcW w:w="2835" w:type="dxa"/>
            <w:shd w:val="clear" w:color="auto" w:fill="auto"/>
          </w:tcPr>
          <w:p w:rsidR="006B69BF" w:rsidRPr="008B39D8" w:rsidRDefault="00C543C3" w:rsidP="00F20795">
            <w:pPr>
              <w:pStyle w:val="Standard1"/>
              <w:snapToGrid w:val="0"/>
              <w:spacing w:before="20"/>
              <w:rPr>
                <w:rFonts w:ascii="Arial" w:hAnsi="Arial" w:cs="Arial"/>
                <w:sz w:val="18"/>
                <w:szCs w:val="18"/>
              </w:rPr>
            </w:pPr>
            <w:hyperlink r:id="rId6" w:history="1">
              <w:r w:rsidR="006B69BF" w:rsidRPr="008B39D8">
                <w:rPr>
                  <w:rStyle w:val="Hyperlink"/>
                  <w:rFonts w:ascii="Arial" w:hAnsi="Arial" w:cs="Arial"/>
                  <w:sz w:val="18"/>
                  <w:szCs w:val="18"/>
                </w:rPr>
                <w:t>info@congatec.com</w:t>
              </w:r>
            </w:hyperlink>
          </w:p>
          <w:p w:rsidR="006B69BF" w:rsidRPr="008B39D8" w:rsidRDefault="00C543C3" w:rsidP="00F20795">
            <w:pPr>
              <w:pStyle w:val="Standard1"/>
              <w:snapToGrid w:val="0"/>
              <w:spacing w:before="20"/>
              <w:rPr>
                <w:rFonts w:ascii="Arial" w:hAnsi="Arial" w:cs="Arial"/>
                <w:sz w:val="18"/>
                <w:szCs w:val="18"/>
              </w:rPr>
            </w:pPr>
            <w:hyperlink r:id="rId7" w:history="1">
              <w:r w:rsidR="006B69BF" w:rsidRPr="008B39D8">
                <w:rPr>
                  <w:rStyle w:val="Hyperlink"/>
                  <w:rFonts w:ascii="Arial" w:hAnsi="Arial" w:cs="Arial"/>
                  <w:sz w:val="18"/>
                  <w:szCs w:val="18"/>
                </w:rPr>
                <w:t>www.congatec.com</w:t>
              </w:r>
            </w:hyperlink>
          </w:p>
        </w:tc>
        <w:tc>
          <w:tcPr>
            <w:tcW w:w="2835" w:type="dxa"/>
            <w:shd w:val="clear" w:color="auto" w:fill="auto"/>
          </w:tcPr>
          <w:p w:rsidR="006B69BF" w:rsidRPr="008B39D8" w:rsidRDefault="00C543C3" w:rsidP="00431C0C">
            <w:pPr>
              <w:pStyle w:val="Standard1"/>
              <w:snapToGrid w:val="0"/>
              <w:spacing w:before="20"/>
              <w:rPr>
                <w:rFonts w:ascii="Arial" w:hAnsi="Arial" w:cs="Arial"/>
                <w:sz w:val="18"/>
                <w:szCs w:val="18"/>
              </w:rPr>
            </w:pPr>
            <w:hyperlink r:id="rId8" w:history="1">
              <w:r w:rsidR="00563030" w:rsidRPr="008B39D8">
                <w:rPr>
                  <w:rStyle w:val="Hyperlink"/>
                  <w:rFonts w:ascii="Arial" w:hAnsi="Arial" w:cs="Arial"/>
                  <w:sz w:val="18"/>
                  <w:szCs w:val="18"/>
                </w:rPr>
                <w:t>info@sams-network.com</w:t>
              </w:r>
            </w:hyperlink>
            <w:r w:rsidR="00563030" w:rsidRPr="008B39D8">
              <w:rPr>
                <w:rFonts w:ascii="Arial" w:hAnsi="Arial" w:cs="Arial"/>
                <w:sz w:val="18"/>
                <w:szCs w:val="18"/>
              </w:rPr>
              <w:t xml:space="preserve"> </w:t>
            </w:r>
          </w:p>
          <w:p w:rsidR="006B69BF" w:rsidRPr="008B39D8" w:rsidRDefault="00C543C3" w:rsidP="00431C0C">
            <w:pPr>
              <w:pStyle w:val="Standard1"/>
              <w:snapToGrid w:val="0"/>
              <w:spacing w:before="20"/>
              <w:rPr>
                <w:rFonts w:ascii="Arial" w:hAnsi="Arial" w:cs="Arial"/>
                <w:sz w:val="18"/>
                <w:szCs w:val="18"/>
              </w:rPr>
            </w:pPr>
            <w:hyperlink r:id="rId9" w:history="1">
              <w:r w:rsidR="006B69BF" w:rsidRPr="008B39D8">
                <w:rPr>
                  <w:rStyle w:val="Hyperlink"/>
                  <w:rFonts w:ascii="Arial" w:hAnsi="Arial" w:cs="Arial"/>
                  <w:sz w:val="18"/>
                  <w:szCs w:val="18"/>
                </w:rPr>
                <w:t>www.sams-network.com</w:t>
              </w:r>
            </w:hyperlink>
          </w:p>
        </w:tc>
      </w:tr>
    </w:tbl>
    <w:p w:rsidR="006B69BF" w:rsidRPr="008B39D8" w:rsidRDefault="006B69BF" w:rsidP="006B69BF">
      <w:pPr>
        <w:spacing w:before="120"/>
        <w:rPr>
          <w:rFonts w:ascii="Arial" w:hAnsi="Arial" w:cs="Arial"/>
          <w:i/>
          <w:iCs/>
          <w:color w:val="000000"/>
          <w:sz w:val="20"/>
          <w:szCs w:val="20"/>
        </w:rPr>
      </w:pPr>
    </w:p>
    <w:p w:rsidR="006B69BF" w:rsidRPr="008B39D8" w:rsidRDefault="006B69BF" w:rsidP="00940AFB">
      <w:pPr>
        <w:jc w:val="right"/>
        <w:rPr>
          <w:rFonts w:ascii="Arial" w:hAnsi="Arial" w:cs="Arial"/>
        </w:rPr>
      </w:pPr>
    </w:p>
    <w:p w:rsidR="00BD2C7D" w:rsidRPr="008B39D8" w:rsidRDefault="00C94502" w:rsidP="005F7AC3">
      <w:pPr>
        <w:spacing w:after="120"/>
        <w:rPr>
          <w:rFonts w:ascii="Arial" w:hAnsi="Arial" w:cs="Arial"/>
          <w:i/>
          <w:noProof/>
          <w:kern w:val="1"/>
          <w:sz w:val="16"/>
          <w:szCs w:val="16"/>
          <w:lang w:val="de-DE" w:eastAsia="de-DE"/>
        </w:rPr>
      </w:pPr>
      <w:r w:rsidRPr="008B39D8">
        <w:rPr>
          <w:rFonts w:ascii="Arial" w:hAnsi="Arial" w:cs="Arial"/>
          <w:noProof/>
          <w:kern w:val="1"/>
          <w:lang w:val="de-DE" w:eastAsia="de-DE" w:bidi="ar-SA"/>
        </w:rPr>
        <w:drawing>
          <wp:inline distT="0" distB="0" distL="0" distR="0">
            <wp:extent cx="1560652" cy="780415"/>
            <wp:effectExtent l="19050" t="0" r="1448" b="0"/>
            <wp:docPr id="2" name="Grafik 1" descr="P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2.1.jpg"/>
                    <pic:cNvPicPr/>
                  </pic:nvPicPr>
                  <pic:blipFill>
                    <a:blip r:embed="rId10" cstate="print"/>
                    <a:stretch>
                      <a:fillRect/>
                    </a:stretch>
                  </pic:blipFill>
                  <pic:spPr>
                    <a:xfrm>
                      <a:off x="0" y="0"/>
                      <a:ext cx="1560652" cy="780415"/>
                    </a:xfrm>
                    <a:prstGeom prst="rect">
                      <a:avLst/>
                    </a:prstGeom>
                  </pic:spPr>
                </pic:pic>
              </a:graphicData>
            </a:graphic>
          </wp:inline>
        </w:drawing>
      </w:r>
    </w:p>
    <w:p w:rsidR="005F7AC3" w:rsidRPr="008B39D8" w:rsidRDefault="004029AA" w:rsidP="005F7AC3">
      <w:pPr>
        <w:spacing w:after="120"/>
        <w:rPr>
          <w:rFonts w:ascii="Arial" w:hAnsi="Arial" w:cs="Arial"/>
          <w:i/>
          <w:noProof/>
          <w:kern w:val="1"/>
          <w:sz w:val="16"/>
          <w:szCs w:val="16"/>
          <w:lang w:eastAsia="de-DE"/>
        </w:rPr>
      </w:pPr>
      <w:r w:rsidRPr="008B39D8">
        <w:rPr>
          <w:rFonts w:ascii="Arial" w:hAnsi="Arial" w:cs="Arial"/>
          <w:i/>
          <w:noProof/>
          <w:kern w:val="1"/>
          <w:sz w:val="16"/>
          <w:szCs w:val="16"/>
          <w:lang w:eastAsia="de-DE"/>
        </w:rPr>
        <w:t>Texte et photo disponibles</w:t>
      </w:r>
      <w:r w:rsidR="005F7AC3" w:rsidRPr="008B39D8">
        <w:rPr>
          <w:rFonts w:ascii="Arial" w:hAnsi="Arial" w:cs="Arial"/>
          <w:i/>
          <w:noProof/>
          <w:kern w:val="1"/>
          <w:sz w:val="16"/>
          <w:szCs w:val="16"/>
          <w:lang w:eastAsia="de-DE"/>
        </w:rPr>
        <w:t xml:space="preserve">: </w:t>
      </w:r>
      <w:hyperlink r:id="rId11" w:history="1">
        <w:r w:rsidR="002907A0" w:rsidRPr="008B39D8">
          <w:rPr>
            <w:rStyle w:val="Hyperlink"/>
            <w:rFonts w:ascii="Arial" w:hAnsi="Arial" w:cs="Arial"/>
            <w:i/>
            <w:noProof/>
            <w:kern w:val="1"/>
            <w:sz w:val="16"/>
            <w:szCs w:val="16"/>
            <w:lang w:eastAsia="de-DE"/>
          </w:rPr>
          <w:t>https://www.congatec.com/fr/congatec/communiques-de-presse.html</w:t>
        </w:r>
      </w:hyperlink>
      <w:r w:rsidR="002907A0" w:rsidRPr="008B39D8">
        <w:rPr>
          <w:rFonts w:ascii="Arial" w:hAnsi="Arial" w:cs="Arial"/>
          <w:i/>
          <w:noProof/>
          <w:kern w:val="1"/>
          <w:sz w:val="16"/>
          <w:szCs w:val="16"/>
          <w:lang w:eastAsia="de-DE"/>
        </w:rPr>
        <w:t xml:space="preserve"> </w:t>
      </w:r>
      <w:r w:rsidR="005F7AC3" w:rsidRPr="008B39D8">
        <w:rPr>
          <w:rFonts w:ascii="Arial" w:hAnsi="Arial" w:cs="Arial"/>
          <w:i/>
          <w:noProof/>
          <w:kern w:val="1"/>
          <w:sz w:val="16"/>
          <w:szCs w:val="16"/>
          <w:lang w:eastAsia="de-DE"/>
        </w:rPr>
        <w:br/>
      </w:r>
    </w:p>
    <w:p w:rsidR="003F59AD" w:rsidRPr="008B39D8" w:rsidRDefault="001905A2" w:rsidP="008A325F">
      <w:pPr>
        <w:widowControl w:val="0"/>
        <w:rPr>
          <w:rFonts w:ascii="Arial" w:hAnsi="Arial" w:cs="Arial"/>
          <w:b/>
          <w:bCs/>
          <w:u w:val="single"/>
        </w:rPr>
      </w:pPr>
      <w:r w:rsidRPr="008B39D8">
        <w:rPr>
          <w:rFonts w:ascii="Arial" w:hAnsi="Arial" w:cs="Arial"/>
          <w:b/>
          <w:bCs/>
          <w:u w:val="single"/>
        </w:rPr>
        <w:t>Communiqué de presse</w:t>
      </w:r>
    </w:p>
    <w:p w:rsidR="008A325F" w:rsidRPr="008B39D8" w:rsidRDefault="008A325F" w:rsidP="008A325F">
      <w:pPr>
        <w:widowControl w:val="0"/>
        <w:rPr>
          <w:rFonts w:ascii="Arial" w:hAnsi="Arial" w:cs="Arial"/>
          <w:b/>
          <w:bCs/>
          <w:u w:val="single"/>
        </w:rPr>
      </w:pPr>
    </w:p>
    <w:p w:rsidR="00564717" w:rsidRPr="008B39D8" w:rsidRDefault="00564717" w:rsidP="00564717">
      <w:pPr>
        <w:tabs>
          <w:tab w:val="left" w:pos="709"/>
        </w:tabs>
        <w:ind w:right="-2"/>
        <w:jc w:val="center"/>
        <w:rPr>
          <w:rFonts w:ascii="Arial" w:hAnsi="Arial" w:cs="Arial"/>
        </w:rPr>
      </w:pPr>
      <w:proofErr w:type="gramStart"/>
      <w:r w:rsidRPr="008B39D8">
        <w:rPr>
          <w:rFonts w:ascii="Arial" w:hAnsi="Arial" w:cs="Arial"/>
        </w:rPr>
        <w:t>congatec</w:t>
      </w:r>
      <w:proofErr w:type="gramEnd"/>
      <w:r w:rsidRPr="008B39D8">
        <w:rPr>
          <w:rFonts w:ascii="Arial" w:hAnsi="Arial" w:cs="Arial"/>
        </w:rPr>
        <w:t xml:space="preserve"> présente un nouvel écosystème pour COM-HPC</w:t>
      </w:r>
    </w:p>
    <w:p w:rsidR="00564717" w:rsidRPr="008B39D8" w:rsidRDefault="00564717" w:rsidP="00564717">
      <w:pPr>
        <w:ind w:right="-2"/>
        <w:jc w:val="center"/>
        <w:rPr>
          <w:rFonts w:ascii="Arial" w:hAnsi="Arial" w:cs="Arial"/>
          <w:sz w:val="28"/>
          <w:szCs w:val="28"/>
        </w:rPr>
      </w:pPr>
    </w:p>
    <w:p w:rsidR="00564717" w:rsidRPr="008B39D8" w:rsidRDefault="00564717" w:rsidP="00564717">
      <w:pPr>
        <w:ind w:right="-2"/>
        <w:jc w:val="center"/>
        <w:rPr>
          <w:rFonts w:ascii="Arial" w:hAnsi="Arial" w:cs="Arial"/>
          <w:b/>
          <w:bCs/>
          <w:sz w:val="34"/>
          <w:szCs w:val="34"/>
          <w:highlight w:val="yellow"/>
        </w:rPr>
      </w:pPr>
      <w:r w:rsidRPr="008B39D8">
        <w:rPr>
          <w:rFonts w:ascii="Arial" w:hAnsi="Arial" w:cs="Arial"/>
          <w:b/>
          <w:bCs/>
          <w:sz w:val="34"/>
          <w:szCs w:val="34"/>
        </w:rPr>
        <w:t>Une étape importante pour l’intégration COM-HPC</w:t>
      </w:r>
    </w:p>
    <w:p w:rsidR="00564717" w:rsidRPr="008B39D8" w:rsidRDefault="00564717" w:rsidP="00564717">
      <w:pPr>
        <w:spacing w:line="360" w:lineRule="auto"/>
        <w:ind w:right="-2"/>
        <w:rPr>
          <w:rFonts w:ascii="Arial" w:hAnsi="Arial" w:cs="Arial"/>
          <w:sz w:val="22"/>
          <w:szCs w:val="22"/>
        </w:rPr>
      </w:pPr>
    </w:p>
    <w:p w:rsidR="00564717" w:rsidRPr="008B39D8" w:rsidRDefault="00564717" w:rsidP="00564717">
      <w:pPr>
        <w:spacing w:line="360" w:lineRule="auto"/>
        <w:ind w:right="-2"/>
        <w:rPr>
          <w:rFonts w:ascii="Arial" w:hAnsi="Arial" w:cs="Arial"/>
          <w:sz w:val="22"/>
          <w:szCs w:val="22"/>
        </w:rPr>
      </w:pPr>
      <w:r w:rsidRPr="008B39D8">
        <w:rPr>
          <w:rFonts w:ascii="Arial" w:hAnsi="Arial" w:cs="Arial"/>
          <w:b/>
          <w:bCs/>
          <w:sz w:val="22"/>
          <w:szCs w:val="22"/>
        </w:rPr>
        <w:t>Deggendorf, Allemagne, 10 novembre 2020 *</w:t>
      </w:r>
      <w:r w:rsidRPr="008B39D8">
        <w:rPr>
          <w:rFonts w:ascii="Arial" w:hAnsi="Arial" w:cs="Arial"/>
          <w:sz w:val="22"/>
          <w:szCs w:val="22"/>
        </w:rPr>
        <w:t xml:space="preserve"> * * congatec - un des principaux fournisseurs de technologies embarquées et </w:t>
      </w:r>
      <w:proofErr w:type="spellStart"/>
      <w:r w:rsidRPr="008B39D8">
        <w:rPr>
          <w:rFonts w:ascii="Arial" w:hAnsi="Arial" w:cs="Arial"/>
          <w:sz w:val="22"/>
          <w:szCs w:val="22"/>
        </w:rPr>
        <w:t>edge</w:t>
      </w:r>
      <w:proofErr w:type="spellEnd"/>
      <w:r w:rsidRPr="008B39D8">
        <w:rPr>
          <w:rFonts w:ascii="Arial" w:hAnsi="Arial" w:cs="Arial"/>
          <w:sz w:val="22"/>
          <w:szCs w:val="22"/>
        </w:rPr>
        <w:t xml:space="preserve"> </w:t>
      </w:r>
      <w:proofErr w:type="spellStart"/>
      <w:r w:rsidRPr="008B39D8">
        <w:rPr>
          <w:rFonts w:ascii="Arial" w:hAnsi="Arial" w:cs="Arial"/>
          <w:sz w:val="22"/>
          <w:szCs w:val="22"/>
        </w:rPr>
        <w:t>computing</w:t>
      </w:r>
      <w:proofErr w:type="spellEnd"/>
      <w:r w:rsidRPr="008B39D8">
        <w:rPr>
          <w:rFonts w:ascii="Arial" w:hAnsi="Arial" w:cs="Arial"/>
          <w:sz w:val="22"/>
          <w:szCs w:val="22"/>
        </w:rPr>
        <w:t xml:space="preserve"> - présente les premières cartes porteuses et solutions de refroidissement constituant la fondation du nouvel écosystème pour le tout nouveau standard PICMG® COM-HPC™. Elles représentent une étape majeure de l'intégration COM-HPC et ont été créées pour accélérer l'utilisation des modules COM-HPC de congatec construits autour des derniers processeurs Intel® </w:t>
      </w:r>
      <w:proofErr w:type="spellStart"/>
      <w:r w:rsidRPr="008B39D8">
        <w:rPr>
          <w:rFonts w:ascii="Arial" w:hAnsi="Arial" w:cs="Arial"/>
          <w:sz w:val="22"/>
          <w:szCs w:val="22"/>
        </w:rPr>
        <w:t>Core</w:t>
      </w:r>
      <w:proofErr w:type="spellEnd"/>
      <w:r w:rsidRPr="008B39D8">
        <w:rPr>
          <w:rFonts w:ascii="Arial" w:hAnsi="Arial" w:cs="Arial"/>
          <w:sz w:val="22"/>
          <w:szCs w:val="22"/>
        </w:rPr>
        <w:t xml:space="preserve">™ 11e génération (nom de code Tiger Lake). Le nouveau standard COM-HPC impressionne avec sa large gamme d'interfaces haut débit parmi les plus récentes, telles que PCIe </w:t>
      </w:r>
      <w:proofErr w:type="spellStart"/>
      <w:r w:rsidRPr="008B39D8">
        <w:rPr>
          <w:rFonts w:ascii="Arial" w:hAnsi="Arial" w:cs="Arial"/>
          <w:sz w:val="22"/>
          <w:szCs w:val="22"/>
        </w:rPr>
        <w:t>Gen</w:t>
      </w:r>
      <w:proofErr w:type="spellEnd"/>
      <w:r w:rsidRPr="008B39D8">
        <w:rPr>
          <w:rFonts w:ascii="Arial" w:hAnsi="Arial" w:cs="Arial"/>
          <w:sz w:val="22"/>
          <w:szCs w:val="22"/>
        </w:rPr>
        <w:t xml:space="preserve"> 4 et USB4, un connecteur haut débit à l'épreuve du temps et un ensemble complet de fonctionnalités pour la gestion à distance. Cette dernière, en particulier, est de la plus haute importance pour toutes les nouvelles applications </w:t>
      </w:r>
      <w:proofErr w:type="spellStart"/>
      <w:r w:rsidRPr="008B39D8">
        <w:rPr>
          <w:rFonts w:ascii="Arial" w:hAnsi="Arial" w:cs="Arial"/>
          <w:sz w:val="22"/>
          <w:szCs w:val="22"/>
        </w:rPr>
        <w:t>edge</w:t>
      </w:r>
      <w:proofErr w:type="spellEnd"/>
      <w:r w:rsidRPr="008B39D8">
        <w:rPr>
          <w:rFonts w:ascii="Arial" w:hAnsi="Arial" w:cs="Arial"/>
          <w:sz w:val="22"/>
          <w:szCs w:val="22"/>
        </w:rPr>
        <w:t xml:space="preserve"> connectées à haut débit, qui vont des appareils </w:t>
      </w:r>
      <w:proofErr w:type="spellStart"/>
      <w:r w:rsidRPr="008B39D8">
        <w:rPr>
          <w:rFonts w:ascii="Arial" w:hAnsi="Arial" w:cs="Arial"/>
          <w:sz w:val="22"/>
          <w:szCs w:val="22"/>
        </w:rPr>
        <w:t>edge</w:t>
      </w:r>
      <w:proofErr w:type="spellEnd"/>
      <w:r w:rsidRPr="008B39D8">
        <w:rPr>
          <w:rFonts w:ascii="Arial" w:hAnsi="Arial" w:cs="Arial"/>
          <w:sz w:val="22"/>
          <w:szCs w:val="22"/>
        </w:rPr>
        <w:t xml:space="preserve"> dédiés aux </w:t>
      </w:r>
      <w:proofErr w:type="spellStart"/>
      <w:r w:rsidRPr="008B39D8">
        <w:rPr>
          <w:rFonts w:ascii="Arial" w:hAnsi="Arial" w:cs="Arial"/>
          <w:sz w:val="22"/>
          <w:szCs w:val="22"/>
        </w:rPr>
        <w:t>cloud</w:t>
      </w:r>
      <w:proofErr w:type="spellEnd"/>
      <w:r w:rsidRPr="008B39D8">
        <w:rPr>
          <w:rFonts w:ascii="Arial" w:hAnsi="Arial" w:cs="Arial"/>
          <w:sz w:val="22"/>
          <w:szCs w:val="22"/>
        </w:rPr>
        <w:t xml:space="preserve"> </w:t>
      </w:r>
      <w:proofErr w:type="spellStart"/>
      <w:r w:rsidRPr="008B39D8">
        <w:rPr>
          <w:rFonts w:ascii="Arial" w:hAnsi="Arial" w:cs="Arial"/>
          <w:sz w:val="22"/>
          <w:szCs w:val="22"/>
        </w:rPr>
        <w:t>edge</w:t>
      </w:r>
      <w:proofErr w:type="spellEnd"/>
      <w:r w:rsidRPr="008B39D8">
        <w:rPr>
          <w:rFonts w:ascii="Arial" w:hAnsi="Arial" w:cs="Arial"/>
          <w:sz w:val="22"/>
          <w:szCs w:val="22"/>
        </w:rPr>
        <w:t xml:space="preserve"> robustes et aux </w:t>
      </w:r>
      <w:proofErr w:type="spellStart"/>
      <w:r w:rsidRPr="008B39D8">
        <w:rPr>
          <w:rFonts w:ascii="Arial" w:hAnsi="Arial" w:cs="Arial"/>
          <w:sz w:val="22"/>
          <w:szCs w:val="22"/>
        </w:rPr>
        <w:t>fogs</w:t>
      </w:r>
      <w:proofErr w:type="spellEnd"/>
      <w:r w:rsidRPr="008B39D8">
        <w:rPr>
          <w:rFonts w:ascii="Arial" w:hAnsi="Arial" w:cs="Arial"/>
          <w:sz w:val="22"/>
          <w:szCs w:val="22"/>
        </w:rPr>
        <w:t xml:space="preserve"> en temps réel.</w:t>
      </w:r>
    </w:p>
    <w:p w:rsidR="00564717" w:rsidRPr="008B39D8" w:rsidRDefault="00564717" w:rsidP="00564717">
      <w:pPr>
        <w:spacing w:line="360" w:lineRule="auto"/>
        <w:ind w:right="-2"/>
        <w:rPr>
          <w:rFonts w:ascii="Arial" w:hAnsi="Arial" w:cs="Arial"/>
          <w:sz w:val="22"/>
          <w:szCs w:val="22"/>
        </w:rPr>
      </w:pPr>
    </w:p>
    <w:p w:rsidR="00564717" w:rsidRPr="00783DF7" w:rsidRDefault="00564717" w:rsidP="00564717">
      <w:pPr>
        <w:spacing w:line="360" w:lineRule="auto"/>
        <w:ind w:right="-2"/>
        <w:rPr>
          <w:rFonts w:ascii="Arial" w:hAnsi="Arial" w:cs="Arial"/>
          <w:sz w:val="22"/>
          <w:szCs w:val="22"/>
        </w:rPr>
      </w:pPr>
      <w:r w:rsidRPr="00783DF7">
        <w:rPr>
          <w:rFonts w:ascii="Arial" w:hAnsi="Arial" w:cs="Arial"/>
          <w:sz w:val="22"/>
          <w:szCs w:val="22"/>
        </w:rPr>
        <w:t>"Avec nos solutions COM-HPC et COM Express, nous proposons deux options très intéressantes pour l’utilisation des derniers processeurs Intel Tiger Lake. Nous voulons vraiment encourager les ingénieurs système à tester la nouvelle plate-forme COM-HPC avec toutes ses nouvelles fonctionnalités et ses avantages. Cela est d'autant plus facile que nos API sont 100% identiques sur COM-H</w:t>
      </w:r>
      <w:r w:rsidR="00783DF7">
        <w:rPr>
          <w:rFonts w:ascii="Arial" w:hAnsi="Arial" w:cs="Arial"/>
          <w:sz w:val="22"/>
          <w:szCs w:val="22"/>
        </w:rPr>
        <w:t>PC</w:t>
      </w:r>
      <w:bookmarkStart w:id="0" w:name="_GoBack"/>
      <w:bookmarkEnd w:id="0"/>
      <w:r w:rsidRPr="00783DF7">
        <w:rPr>
          <w:rFonts w:ascii="Arial" w:hAnsi="Arial" w:cs="Arial"/>
          <w:sz w:val="22"/>
          <w:szCs w:val="22"/>
        </w:rPr>
        <w:t xml:space="preserve"> et COM Express, ce qui signifie que les ingénieurs peuvent travailler sur les deux plates-formes et passer facilement de l'une à l'autre", explique Andreas Bergbauer, responsable de la ligne de produits chez congatec.</w:t>
      </w:r>
    </w:p>
    <w:p w:rsidR="00564717" w:rsidRPr="00783DF7" w:rsidRDefault="00564717" w:rsidP="00564717">
      <w:pPr>
        <w:spacing w:line="360" w:lineRule="auto"/>
        <w:ind w:right="-2"/>
        <w:rPr>
          <w:rFonts w:ascii="Arial" w:hAnsi="Arial" w:cs="Arial"/>
          <w:sz w:val="22"/>
          <w:szCs w:val="22"/>
        </w:rPr>
      </w:pPr>
    </w:p>
    <w:p w:rsidR="00564717" w:rsidRPr="00783DF7" w:rsidRDefault="00564717" w:rsidP="00564717">
      <w:pPr>
        <w:spacing w:line="360" w:lineRule="auto"/>
        <w:ind w:right="-2"/>
        <w:rPr>
          <w:rFonts w:ascii="Arial" w:hAnsi="Arial" w:cs="Arial"/>
          <w:sz w:val="22"/>
          <w:szCs w:val="22"/>
        </w:rPr>
      </w:pPr>
      <w:r w:rsidRPr="00783DF7">
        <w:rPr>
          <w:rFonts w:ascii="Arial" w:hAnsi="Arial" w:cs="Arial"/>
          <w:sz w:val="22"/>
          <w:szCs w:val="22"/>
        </w:rPr>
        <w:t xml:space="preserve">L'utilisation du COM-HPC pour la conception des processeurs Intel® </w:t>
      </w:r>
      <w:proofErr w:type="spellStart"/>
      <w:r w:rsidRPr="00783DF7">
        <w:rPr>
          <w:rFonts w:ascii="Arial" w:hAnsi="Arial" w:cs="Arial"/>
          <w:sz w:val="22"/>
          <w:szCs w:val="22"/>
        </w:rPr>
        <w:t>Core</w:t>
      </w:r>
      <w:proofErr w:type="spellEnd"/>
      <w:r w:rsidRPr="00783DF7">
        <w:rPr>
          <w:rFonts w:ascii="Arial" w:hAnsi="Arial" w:cs="Arial"/>
          <w:sz w:val="22"/>
          <w:szCs w:val="22"/>
        </w:rPr>
        <w:t xml:space="preserve">™ 11e génération apporte des avantages immédiats aux développeurs : connectivité conforme au standard PCIe Gen4, bande passante full USB 4.0, 2,5 GbE, SoundWire et MIPI-CSI. Ceux qui s'attendent à avoir besoin d'interfaces PCIe ou Ethernet plus nombreuses ou plus performantes avec jusqu'à 25 GbE devraient également donner la préférence au COM-HPC. En outre, les développeurs qui veulent faire évoluer leurs systèmes haute performance vers des serveurs </w:t>
      </w:r>
      <w:proofErr w:type="spellStart"/>
      <w:r w:rsidRPr="00783DF7">
        <w:rPr>
          <w:rFonts w:ascii="Arial" w:hAnsi="Arial" w:cs="Arial"/>
          <w:sz w:val="22"/>
          <w:szCs w:val="22"/>
        </w:rPr>
        <w:t>edge</w:t>
      </w:r>
      <w:proofErr w:type="spellEnd"/>
      <w:r w:rsidRPr="00783DF7">
        <w:rPr>
          <w:rFonts w:ascii="Arial" w:hAnsi="Arial" w:cs="Arial"/>
          <w:sz w:val="22"/>
          <w:szCs w:val="22"/>
        </w:rPr>
        <w:t xml:space="preserve"> et </w:t>
      </w:r>
      <w:proofErr w:type="spellStart"/>
      <w:r w:rsidRPr="00783DF7">
        <w:rPr>
          <w:rFonts w:ascii="Arial" w:hAnsi="Arial" w:cs="Arial"/>
          <w:sz w:val="22"/>
          <w:szCs w:val="22"/>
        </w:rPr>
        <w:t>fog</w:t>
      </w:r>
      <w:proofErr w:type="spellEnd"/>
      <w:r w:rsidRPr="00783DF7">
        <w:rPr>
          <w:rFonts w:ascii="Arial" w:hAnsi="Arial" w:cs="Arial"/>
          <w:sz w:val="22"/>
          <w:szCs w:val="22"/>
        </w:rPr>
        <w:t xml:space="preserve"> avec un seul standard ont les bons arguments pour tout mettre en œuvre en COM-HPC. Enfin, la perspective de pouvoir utiliser des modules offrant des fonctions de gestion à distance plus complètes est une raison supplémentaire d'acheter et d'essayer la nouvelle plate-forme d'évaluation au standard COM-HPC.</w:t>
      </w:r>
    </w:p>
    <w:p w:rsidR="008B39D8" w:rsidRPr="00783DF7" w:rsidRDefault="008B39D8" w:rsidP="00564717">
      <w:pPr>
        <w:spacing w:line="360" w:lineRule="auto"/>
        <w:ind w:right="-2"/>
        <w:rPr>
          <w:rFonts w:ascii="Arial" w:hAnsi="Arial" w:cs="Arial"/>
          <w:sz w:val="22"/>
          <w:szCs w:val="22"/>
        </w:rPr>
      </w:pPr>
    </w:p>
    <w:p w:rsidR="00564717" w:rsidRPr="005531F1" w:rsidRDefault="00564717" w:rsidP="00564717">
      <w:pPr>
        <w:spacing w:line="360" w:lineRule="auto"/>
        <w:ind w:right="-2"/>
        <w:rPr>
          <w:rFonts w:ascii="Arial" w:hAnsi="Arial" w:cs="Arial"/>
          <w:b/>
          <w:bCs/>
          <w:sz w:val="22"/>
          <w:szCs w:val="22"/>
        </w:rPr>
      </w:pPr>
      <w:r w:rsidRPr="005531F1">
        <w:rPr>
          <w:rFonts w:ascii="Arial" w:hAnsi="Arial" w:cs="Arial"/>
          <w:b/>
          <w:bCs/>
          <w:sz w:val="22"/>
          <w:szCs w:val="22"/>
        </w:rPr>
        <w:t>Caractéristiques en détail</w:t>
      </w:r>
    </w:p>
    <w:p w:rsidR="00564717" w:rsidRPr="00783DF7" w:rsidRDefault="00564717" w:rsidP="00564717">
      <w:pPr>
        <w:spacing w:line="360" w:lineRule="auto"/>
        <w:ind w:right="-2"/>
        <w:rPr>
          <w:rFonts w:ascii="Arial" w:hAnsi="Arial" w:cs="Arial"/>
          <w:sz w:val="22"/>
          <w:szCs w:val="22"/>
        </w:rPr>
      </w:pPr>
      <w:r w:rsidRPr="00783DF7">
        <w:rPr>
          <w:rFonts w:ascii="Arial" w:hAnsi="Arial" w:cs="Arial"/>
          <w:sz w:val="22"/>
          <w:szCs w:val="22"/>
        </w:rPr>
        <w:t xml:space="preserve">Conçue à des fins d'évaluation, la carte porteuse conga-HPC/EVAL-Client pour COM-HPC compatible ATX comprend toutes les interfaces de R&amp;D nécessaires à la programmation, au chargement et à la réinitialisation du micrologiciel. La nouvelle carte porteuse COM-HPC intègre également toutes les interfaces spécifiées par le nouveau standard COM-HPC Client et prend en charge la plage de température étendue de -40°C à +85°C. La carte prend en charge le COM-HPC tailles A, B et C et est fournie avec une variété de bandes passantes LAN, méthodes de transfert de données et connecteurs. Elle est proposée en différentes versions pour offrir un maximum de flexibilité aux clients, y compris Ethernet KR, jusqu'à 2x 10 GbE, 2,5 GbE et 1GbE. La carte est en outre équipée de 2 connecteurs PCIe Gen4 x16 très performants pour les dernières cartes d'extension haute performance. </w:t>
      </w:r>
      <w:r w:rsidR="00C543C3" w:rsidRPr="00C543C3">
        <w:rPr>
          <w:rFonts w:ascii="Arial" w:hAnsi="Arial" w:cs="Arial"/>
          <w:sz w:val="22"/>
          <w:szCs w:val="22"/>
        </w:rPr>
        <w:t xml:space="preserve">Sur les cartes mezzanine, la carte porteuse peut exécuter des interfaces encore plus performantes jusqu'à 4x25 GbE, ce qui fait de cette plate-forme d'évaluation une solution parfaite pour les appareils </w:t>
      </w:r>
      <w:proofErr w:type="spellStart"/>
      <w:r w:rsidR="00C543C3" w:rsidRPr="00C543C3">
        <w:rPr>
          <w:rFonts w:ascii="Arial" w:hAnsi="Arial" w:cs="Arial"/>
          <w:sz w:val="22"/>
          <w:szCs w:val="22"/>
        </w:rPr>
        <w:t>edge</w:t>
      </w:r>
      <w:proofErr w:type="spellEnd"/>
      <w:r w:rsidR="00C543C3" w:rsidRPr="00C543C3">
        <w:rPr>
          <w:rFonts w:ascii="Arial" w:hAnsi="Arial" w:cs="Arial"/>
          <w:sz w:val="22"/>
          <w:szCs w:val="22"/>
        </w:rPr>
        <w:t xml:space="preserve"> massivement connectés.</w:t>
      </w:r>
    </w:p>
    <w:p w:rsidR="00564717" w:rsidRPr="00783DF7" w:rsidRDefault="00564717" w:rsidP="00564717">
      <w:pPr>
        <w:spacing w:line="360" w:lineRule="auto"/>
        <w:ind w:right="-2"/>
        <w:rPr>
          <w:rFonts w:ascii="Arial" w:hAnsi="Arial" w:cs="Arial"/>
          <w:sz w:val="22"/>
          <w:szCs w:val="22"/>
        </w:rPr>
      </w:pPr>
    </w:p>
    <w:p w:rsidR="00564717" w:rsidRPr="00783DF7" w:rsidRDefault="00564717" w:rsidP="00564717">
      <w:pPr>
        <w:spacing w:line="360" w:lineRule="auto"/>
        <w:ind w:right="-2"/>
        <w:rPr>
          <w:rFonts w:ascii="Arial" w:hAnsi="Arial" w:cs="Arial"/>
          <w:sz w:val="22"/>
          <w:szCs w:val="22"/>
        </w:rPr>
      </w:pPr>
      <w:r w:rsidRPr="00783DF7">
        <w:rPr>
          <w:rFonts w:ascii="Arial" w:hAnsi="Arial" w:cs="Arial"/>
          <w:sz w:val="22"/>
          <w:szCs w:val="22"/>
        </w:rPr>
        <w:t xml:space="preserve">La solution de refroidissement pour les tout nouveaux modules COM-HPC est disponible en 3 variantes différentes et s'adapte à toute la gamme configurable 12-28W TPD des processeurs Intel® </w:t>
      </w:r>
      <w:proofErr w:type="spellStart"/>
      <w:r w:rsidRPr="00783DF7">
        <w:rPr>
          <w:rFonts w:ascii="Arial" w:hAnsi="Arial" w:cs="Arial"/>
          <w:sz w:val="22"/>
          <w:szCs w:val="22"/>
        </w:rPr>
        <w:t>Core</w:t>
      </w:r>
      <w:proofErr w:type="spellEnd"/>
      <w:r w:rsidRPr="00783DF7">
        <w:rPr>
          <w:rFonts w:ascii="Arial" w:hAnsi="Arial" w:cs="Arial"/>
          <w:sz w:val="22"/>
          <w:szCs w:val="22"/>
        </w:rPr>
        <w:t>™ 11e génération. Les nouveaux modules COM-HPC sont disponibles dans les configurations de processeurs suivantes :</w:t>
      </w:r>
    </w:p>
    <w:p w:rsidR="00564717" w:rsidRPr="00783DF7" w:rsidRDefault="00564717" w:rsidP="00564717">
      <w:pPr>
        <w:spacing w:line="360" w:lineRule="auto"/>
        <w:ind w:right="-2"/>
        <w:rPr>
          <w:rStyle w:val="Kommentarzeichen1"/>
          <w:rFonts w:ascii="Arial" w:hAnsi="Arial" w:cs="Arial"/>
          <w:sz w:val="22"/>
          <w:szCs w:val="22"/>
        </w:rPr>
      </w:pPr>
    </w:p>
    <w:tbl>
      <w:tblPr>
        <w:tblW w:w="9235" w:type="dxa"/>
        <w:tblLayout w:type="fixed"/>
        <w:tblLook w:val="04A0"/>
      </w:tblPr>
      <w:tblGrid>
        <w:gridCol w:w="250"/>
        <w:gridCol w:w="2324"/>
        <w:gridCol w:w="283"/>
        <w:gridCol w:w="964"/>
        <w:gridCol w:w="236"/>
        <w:gridCol w:w="1531"/>
        <w:gridCol w:w="236"/>
        <w:gridCol w:w="794"/>
        <w:gridCol w:w="1077"/>
        <w:gridCol w:w="236"/>
        <w:gridCol w:w="1304"/>
      </w:tblGrid>
      <w:tr w:rsidR="00564717" w:rsidRPr="008B39D8" w:rsidTr="00AE1237">
        <w:trPr>
          <w:trHeight w:val="680"/>
        </w:trPr>
        <w:tc>
          <w:tcPr>
            <w:tcW w:w="250" w:type="dxa"/>
            <w:vAlign w:val="center"/>
          </w:tcPr>
          <w:p w:rsidR="00564717" w:rsidRPr="00783DF7" w:rsidRDefault="00564717" w:rsidP="00AE1237">
            <w:pPr>
              <w:ind w:right="-2"/>
              <w:jc w:val="center"/>
              <w:rPr>
                <w:rFonts w:ascii="Arial" w:hAnsi="Arial" w:cs="Arial"/>
                <w:b/>
                <w:bCs/>
                <w:sz w:val="18"/>
                <w:szCs w:val="18"/>
                <w:lang w:eastAsia="de-DE"/>
              </w:rPr>
            </w:pPr>
          </w:p>
        </w:tc>
        <w:tc>
          <w:tcPr>
            <w:tcW w:w="2324" w:type="dxa"/>
            <w:tcBorders>
              <w:bottom w:val="single" w:sz="4" w:space="0" w:color="auto"/>
            </w:tcBorders>
          </w:tcPr>
          <w:p w:rsidR="00564717" w:rsidRPr="008B39D8" w:rsidRDefault="00564717" w:rsidP="00AE1237">
            <w:pPr>
              <w:ind w:right="-2"/>
              <w:jc w:val="center"/>
              <w:rPr>
                <w:rFonts w:ascii="Arial" w:hAnsi="Arial" w:cs="Arial"/>
                <w:b/>
                <w:bCs/>
                <w:sz w:val="18"/>
                <w:szCs w:val="18"/>
                <w:lang w:eastAsia="de-DE"/>
              </w:rPr>
            </w:pPr>
            <w:r w:rsidRPr="008B39D8">
              <w:rPr>
                <w:rFonts w:ascii="Arial" w:hAnsi="Arial" w:cs="Arial"/>
                <w:b/>
                <w:bCs/>
                <w:sz w:val="18"/>
                <w:szCs w:val="18"/>
                <w:lang w:eastAsia="de-DE"/>
              </w:rPr>
              <w:t>Processeur</w:t>
            </w:r>
          </w:p>
        </w:tc>
        <w:tc>
          <w:tcPr>
            <w:tcW w:w="283" w:type="dxa"/>
          </w:tcPr>
          <w:p w:rsidR="00564717" w:rsidRPr="008B39D8" w:rsidRDefault="00564717" w:rsidP="00AE1237">
            <w:pPr>
              <w:ind w:right="-2"/>
              <w:jc w:val="center"/>
              <w:rPr>
                <w:rFonts w:ascii="Arial" w:hAnsi="Arial" w:cs="Arial"/>
                <w:b/>
                <w:bCs/>
                <w:sz w:val="18"/>
                <w:szCs w:val="18"/>
                <w:lang w:eastAsia="de-DE"/>
              </w:rPr>
            </w:pPr>
          </w:p>
        </w:tc>
        <w:tc>
          <w:tcPr>
            <w:tcW w:w="964" w:type="dxa"/>
            <w:tcBorders>
              <w:bottom w:val="single" w:sz="4" w:space="0" w:color="auto"/>
            </w:tcBorders>
          </w:tcPr>
          <w:p w:rsidR="00564717" w:rsidRPr="008B39D8" w:rsidRDefault="00564717" w:rsidP="00AE1237">
            <w:pPr>
              <w:ind w:right="-2"/>
              <w:jc w:val="center"/>
              <w:rPr>
                <w:rFonts w:ascii="Arial" w:hAnsi="Arial" w:cs="Arial"/>
                <w:b/>
                <w:bCs/>
                <w:sz w:val="18"/>
                <w:szCs w:val="18"/>
                <w:lang w:eastAsia="de-DE"/>
              </w:rPr>
            </w:pPr>
            <w:proofErr w:type="spellStart"/>
            <w:r w:rsidRPr="008B39D8">
              <w:rPr>
                <w:rFonts w:ascii="Arial" w:hAnsi="Arial" w:cs="Arial"/>
                <w:b/>
                <w:bCs/>
                <w:sz w:val="18"/>
                <w:szCs w:val="18"/>
                <w:lang w:eastAsia="de-DE"/>
              </w:rPr>
              <w:t>Coeurs</w:t>
            </w:r>
            <w:proofErr w:type="spellEnd"/>
            <w:r w:rsidRPr="008B39D8">
              <w:rPr>
                <w:rFonts w:ascii="Arial" w:hAnsi="Arial" w:cs="Arial"/>
                <w:b/>
                <w:bCs/>
                <w:sz w:val="18"/>
                <w:szCs w:val="18"/>
                <w:lang w:eastAsia="de-DE"/>
              </w:rPr>
              <w:t>/</w:t>
            </w:r>
            <w:r w:rsidRPr="008B39D8">
              <w:rPr>
                <w:rFonts w:ascii="Arial" w:hAnsi="Arial" w:cs="Arial"/>
                <w:b/>
                <w:bCs/>
                <w:sz w:val="18"/>
                <w:szCs w:val="18"/>
                <w:lang w:eastAsia="de-DE"/>
              </w:rPr>
              <w:br/>
              <w:t>Threads</w:t>
            </w:r>
          </w:p>
        </w:tc>
        <w:tc>
          <w:tcPr>
            <w:tcW w:w="236" w:type="dxa"/>
          </w:tcPr>
          <w:p w:rsidR="00564717" w:rsidRPr="008B39D8" w:rsidRDefault="00564717" w:rsidP="00AE1237">
            <w:pPr>
              <w:ind w:right="-2"/>
              <w:jc w:val="center"/>
              <w:rPr>
                <w:rFonts w:ascii="Arial" w:hAnsi="Arial" w:cs="Arial"/>
                <w:b/>
                <w:bCs/>
                <w:sz w:val="18"/>
                <w:szCs w:val="18"/>
                <w:lang w:eastAsia="de-DE"/>
              </w:rPr>
            </w:pPr>
          </w:p>
        </w:tc>
        <w:tc>
          <w:tcPr>
            <w:tcW w:w="1531" w:type="dxa"/>
            <w:tcBorders>
              <w:bottom w:val="single" w:sz="4" w:space="0" w:color="auto"/>
            </w:tcBorders>
          </w:tcPr>
          <w:p w:rsidR="00564717" w:rsidRPr="00783DF7" w:rsidRDefault="00C543C3" w:rsidP="00AE1237">
            <w:pPr>
              <w:ind w:right="-2"/>
              <w:jc w:val="center"/>
              <w:rPr>
                <w:rFonts w:ascii="Arial" w:hAnsi="Arial" w:cs="Arial"/>
                <w:b/>
                <w:bCs/>
                <w:sz w:val="18"/>
                <w:szCs w:val="18"/>
                <w:lang w:eastAsia="de-DE"/>
              </w:rPr>
            </w:pPr>
            <w:r w:rsidRPr="00C543C3">
              <w:rPr>
                <w:rFonts w:ascii="Arial" w:hAnsi="Arial" w:cs="Arial"/>
                <w:b/>
                <w:bCs/>
                <w:sz w:val="18"/>
                <w:szCs w:val="18"/>
                <w:lang w:eastAsia="de-DE"/>
              </w:rPr>
              <w:t>Fréquence à 28/15/12W TDP, (Max Turbo) [GHz]</w:t>
            </w:r>
          </w:p>
        </w:tc>
        <w:tc>
          <w:tcPr>
            <w:tcW w:w="236" w:type="dxa"/>
          </w:tcPr>
          <w:p w:rsidR="00564717" w:rsidRPr="00783DF7" w:rsidRDefault="00564717" w:rsidP="00AE1237">
            <w:pPr>
              <w:ind w:right="-2"/>
              <w:jc w:val="center"/>
              <w:rPr>
                <w:rFonts w:ascii="Arial" w:hAnsi="Arial" w:cs="Arial"/>
                <w:b/>
                <w:bCs/>
                <w:sz w:val="18"/>
                <w:szCs w:val="18"/>
                <w:lang w:eastAsia="de-DE"/>
              </w:rPr>
            </w:pPr>
          </w:p>
        </w:tc>
        <w:tc>
          <w:tcPr>
            <w:tcW w:w="794" w:type="dxa"/>
            <w:tcBorders>
              <w:bottom w:val="single" w:sz="4" w:space="0" w:color="auto"/>
            </w:tcBorders>
          </w:tcPr>
          <w:p w:rsidR="00564717" w:rsidRPr="008B39D8" w:rsidRDefault="00564717" w:rsidP="00AE1237">
            <w:pPr>
              <w:ind w:right="-2"/>
              <w:jc w:val="center"/>
              <w:rPr>
                <w:rFonts w:ascii="Arial" w:hAnsi="Arial" w:cs="Arial"/>
                <w:b/>
                <w:bCs/>
                <w:sz w:val="18"/>
                <w:szCs w:val="18"/>
                <w:lang w:val="it-IT" w:eastAsia="de-DE"/>
              </w:rPr>
            </w:pPr>
            <w:r w:rsidRPr="008B39D8">
              <w:rPr>
                <w:rFonts w:ascii="Arial" w:hAnsi="Arial" w:cs="Arial"/>
                <w:b/>
                <w:bCs/>
                <w:sz w:val="18"/>
                <w:szCs w:val="18"/>
                <w:lang w:val="it-IT" w:eastAsia="de-DE"/>
              </w:rPr>
              <w:t>Cache [MB]</w:t>
            </w:r>
          </w:p>
        </w:tc>
        <w:tc>
          <w:tcPr>
            <w:tcW w:w="1077" w:type="dxa"/>
            <w:tcBorders>
              <w:bottom w:val="single" w:sz="4" w:space="0" w:color="auto"/>
            </w:tcBorders>
          </w:tcPr>
          <w:p w:rsidR="00564717" w:rsidRPr="008B39D8" w:rsidRDefault="00564717" w:rsidP="00AE1237">
            <w:pPr>
              <w:ind w:right="-2"/>
              <w:jc w:val="center"/>
              <w:rPr>
                <w:rFonts w:ascii="Arial" w:hAnsi="Arial" w:cs="Arial"/>
                <w:b/>
                <w:bCs/>
                <w:sz w:val="14"/>
                <w:szCs w:val="14"/>
                <w:lang w:val="it-IT" w:eastAsia="de-DE"/>
              </w:rPr>
            </w:pPr>
            <w:proofErr w:type="spellStart"/>
            <w:r w:rsidRPr="008B39D8">
              <w:rPr>
                <w:rFonts w:ascii="Arial" w:hAnsi="Arial" w:cs="Arial"/>
                <w:b/>
                <w:bCs/>
                <w:sz w:val="14"/>
                <w:szCs w:val="14"/>
                <w:lang w:val="it-IT" w:eastAsia="de-DE"/>
              </w:rPr>
              <w:t>Unités</w:t>
            </w:r>
            <w:proofErr w:type="spellEnd"/>
            <w:r w:rsidRPr="008B39D8">
              <w:rPr>
                <w:rFonts w:ascii="Arial" w:hAnsi="Arial" w:cs="Arial"/>
                <w:b/>
                <w:bCs/>
                <w:sz w:val="14"/>
                <w:szCs w:val="14"/>
                <w:lang w:val="it-IT" w:eastAsia="de-DE"/>
              </w:rPr>
              <w:t xml:space="preserve"> d’</w:t>
            </w:r>
            <w:proofErr w:type="spellStart"/>
            <w:r w:rsidRPr="008B39D8">
              <w:rPr>
                <w:rFonts w:ascii="Arial" w:hAnsi="Arial" w:cs="Arial"/>
                <w:b/>
                <w:bCs/>
                <w:sz w:val="14"/>
                <w:szCs w:val="14"/>
                <w:lang w:val="it-IT" w:eastAsia="de-DE"/>
              </w:rPr>
              <w:t>exécution</w:t>
            </w:r>
            <w:proofErr w:type="spellEnd"/>
            <w:r w:rsidRPr="008B39D8">
              <w:rPr>
                <w:rFonts w:ascii="Arial" w:hAnsi="Arial" w:cs="Arial"/>
                <w:b/>
                <w:bCs/>
                <w:sz w:val="14"/>
                <w:szCs w:val="14"/>
                <w:lang w:val="it-IT" w:eastAsia="de-DE"/>
              </w:rPr>
              <w:t xml:space="preserve"> </w:t>
            </w:r>
            <w:proofErr w:type="spellStart"/>
            <w:r w:rsidRPr="008B39D8">
              <w:rPr>
                <w:rFonts w:ascii="Arial" w:hAnsi="Arial" w:cs="Arial"/>
                <w:b/>
                <w:bCs/>
                <w:sz w:val="14"/>
                <w:szCs w:val="14"/>
                <w:lang w:val="it-IT" w:eastAsia="de-DE"/>
              </w:rPr>
              <w:t>graphique</w:t>
            </w:r>
            <w:proofErr w:type="spellEnd"/>
          </w:p>
        </w:tc>
        <w:tc>
          <w:tcPr>
            <w:tcW w:w="236" w:type="dxa"/>
          </w:tcPr>
          <w:p w:rsidR="00564717" w:rsidRPr="008B39D8" w:rsidRDefault="00564717" w:rsidP="00AE1237">
            <w:pPr>
              <w:ind w:right="-2"/>
              <w:jc w:val="center"/>
              <w:rPr>
                <w:rFonts w:ascii="Arial" w:hAnsi="Arial" w:cs="Arial"/>
                <w:b/>
                <w:bCs/>
                <w:sz w:val="18"/>
                <w:szCs w:val="18"/>
                <w:lang w:val="it-IT" w:eastAsia="de-DE"/>
              </w:rPr>
            </w:pPr>
          </w:p>
        </w:tc>
        <w:tc>
          <w:tcPr>
            <w:tcW w:w="1304" w:type="dxa"/>
            <w:tcBorders>
              <w:bottom w:val="single" w:sz="4" w:space="0" w:color="auto"/>
            </w:tcBorders>
          </w:tcPr>
          <w:p w:rsidR="00564717" w:rsidRPr="008B39D8" w:rsidRDefault="00564717" w:rsidP="00AE1237">
            <w:pPr>
              <w:ind w:right="-2"/>
              <w:jc w:val="center"/>
              <w:rPr>
                <w:rFonts w:ascii="Arial" w:hAnsi="Arial" w:cs="Arial"/>
                <w:b/>
                <w:bCs/>
                <w:sz w:val="16"/>
                <w:szCs w:val="16"/>
                <w:lang w:val="it-IT" w:eastAsia="de-DE"/>
              </w:rPr>
            </w:pPr>
            <w:r w:rsidRPr="008B39D8">
              <w:rPr>
                <w:rFonts w:ascii="Arial" w:hAnsi="Arial" w:cs="Arial"/>
                <w:b/>
                <w:bCs/>
                <w:sz w:val="16"/>
                <w:szCs w:val="16"/>
                <w:lang w:val="it-IT" w:eastAsia="de-DE"/>
              </w:rPr>
              <w:t xml:space="preserve">Gamme de </w:t>
            </w:r>
            <w:proofErr w:type="spellStart"/>
            <w:r w:rsidRPr="008B39D8">
              <w:rPr>
                <w:rFonts w:ascii="Arial" w:hAnsi="Arial" w:cs="Arial"/>
                <w:b/>
                <w:bCs/>
                <w:sz w:val="16"/>
                <w:szCs w:val="16"/>
                <w:lang w:val="it-IT" w:eastAsia="de-DE"/>
              </w:rPr>
              <w:t>températures</w:t>
            </w:r>
            <w:proofErr w:type="spellEnd"/>
            <w:r w:rsidRPr="008B39D8">
              <w:rPr>
                <w:rFonts w:ascii="Arial" w:hAnsi="Arial" w:cs="Arial"/>
                <w:b/>
                <w:bCs/>
                <w:sz w:val="16"/>
                <w:szCs w:val="16"/>
                <w:lang w:val="it-IT" w:eastAsia="de-DE"/>
              </w:rPr>
              <w:t xml:space="preserve"> </w:t>
            </w:r>
            <w:proofErr w:type="spellStart"/>
            <w:r w:rsidRPr="008B39D8">
              <w:rPr>
                <w:rFonts w:ascii="Arial" w:hAnsi="Arial" w:cs="Arial"/>
                <w:b/>
                <w:bCs/>
                <w:sz w:val="16"/>
                <w:szCs w:val="16"/>
                <w:lang w:val="it-IT" w:eastAsia="de-DE"/>
              </w:rPr>
              <w:t>ext</w:t>
            </w:r>
            <w:proofErr w:type="spellEnd"/>
            <w:r w:rsidRPr="008B39D8">
              <w:rPr>
                <w:rFonts w:ascii="Arial" w:hAnsi="Arial" w:cs="Arial"/>
                <w:b/>
                <w:bCs/>
                <w:sz w:val="16"/>
                <w:szCs w:val="16"/>
                <w:lang w:val="it-IT" w:eastAsia="de-DE"/>
              </w:rPr>
              <w:t>.</w:t>
            </w:r>
          </w:p>
        </w:tc>
      </w:tr>
      <w:tr w:rsidR="00564717" w:rsidRPr="008B39D8" w:rsidTr="00AE1237">
        <w:trPr>
          <w:trHeight w:val="340"/>
        </w:trPr>
        <w:tc>
          <w:tcPr>
            <w:tcW w:w="250" w:type="dxa"/>
            <w:vAlign w:val="center"/>
          </w:tcPr>
          <w:p w:rsidR="00564717" w:rsidRPr="008B39D8" w:rsidRDefault="00564717" w:rsidP="00AE1237">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564717" w:rsidRPr="008B39D8" w:rsidRDefault="00564717" w:rsidP="00AE1237">
            <w:pPr>
              <w:spacing w:line="276" w:lineRule="auto"/>
              <w:ind w:right="-2"/>
              <w:rPr>
                <w:rFonts w:ascii="Arial" w:hAnsi="Arial" w:cs="Arial"/>
                <w:sz w:val="18"/>
                <w:szCs w:val="18"/>
                <w:lang w:val="it-IT"/>
              </w:rPr>
            </w:pPr>
            <w:r w:rsidRPr="008B39D8">
              <w:rPr>
                <w:rFonts w:ascii="Arial" w:hAnsi="Arial" w:cs="Arial"/>
                <w:bCs/>
                <w:sz w:val="18"/>
                <w:szCs w:val="18"/>
                <w:lang w:val="it-IT" w:eastAsia="de-DE"/>
              </w:rPr>
              <w:t>Intel</w:t>
            </w:r>
            <w:r w:rsidRPr="008B39D8">
              <w:rPr>
                <w:rFonts w:ascii="Arial" w:hAnsi="Arial" w:cs="Arial"/>
                <w:bCs/>
                <w:sz w:val="18"/>
                <w:szCs w:val="18"/>
                <w:vertAlign w:val="superscript"/>
                <w:lang w:val="it-IT" w:eastAsia="de-DE"/>
              </w:rPr>
              <w:t>®</w:t>
            </w:r>
            <w:r w:rsidRPr="008B39D8">
              <w:rPr>
                <w:rFonts w:ascii="Arial" w:hAnsi="Arial" w:cs="Arial"/>
                <w:bCs/>
                <w:sz w:val="18"/>
                <w:szCs w:val="18"/>
                <w:lang w:val="it-IT" w:eastAsia="de-DE"/>
              </w:rPr>
              <w:t xml:space="preserve"> Core™ </w:t>
            </w:r>
            <w:r w:rsidRPr="008B39D8">
              <w:rPr>
                <w:rFonts w:ascii="Arial" w:hAnsi="Arial" w:cs="Arial"/>
                <w:sz w:val="18"/>
                <w:szCs w:val="18"/>
                <w:lang w:val="it-IT"/>
              </w:rPr>
              <w:t>i7-1185G7E</w:t>
            </w:r>
          </w:p>
        </w:tc>
        <w:tc>
          <w:tcPr>
            <w:tcW w:w="283" w:type="dxa"/>
            <w:vAlign w:val="center"/>
          </w:tcPr>
          <w:p w:rsidR="00564717" w:rsidRPr="008B39D8" w:rsidRDefault="00564717" w:rsidP="00AE1237">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sz w:val="18"/>
                <w:szCs w:val="18"/>
                <w:lang w:val="it-IT"/>
              </w:rPr>
            </w:pPr>
            <w:r w:rsidRPr="008B39D8">
              <w:rPr>
                <w:rFonts w:ascii="Arial" w:hAnsi="Arial" w:cs="Arial"/>
                <w:sz w:val="18"/>
                <w:szCs w:val="18"/>
                <w:lang w:val="it-IT"/>
              </w:rPr>
              <w:t>4/8</w:t>
            </w:r>
          </w:p>
        </w:tc>
        <w:tc>
          <w:tcPr>
            <w:tcW w:w="236" w:type="dxa"/>
            <w:vAlign w:val="center"/>
          </w:tcPr>
          <w:p w:rsidR="00564717" w:rsidRPr="008B39D8" w:rsidRDefault="00564717" w:rsidP="00AE1237">
            <w:pPr>
              <w:spacing w:line="276" w:lineRule="auto"/>
              <w:ind w:right="-2"/>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sz w:val="18"/>
                <w:szCs w:val="18"/>
                <w:lang w:val="it-IT"/>
              </w:rPr>
            </w:pPr>
            <w:r w:rsidRPr="008B39D8">
              <w:rPr>
                <w:rFonts w:ascii="Arial" w:hAnsi="Arial" w:cs="Arial"/>
                <w:sz w:val="18"/>
                <w:szCs w:val="18"/>
                <w:lang w:val="it-IT"/>
              </w:rPr>
              <w:t>2.8/1.8/1.2 (4.4)</w:t>
            </w:r>
          </w:p>
        </w:tc>
        <w:tc>
          <w:tcPr>
            <w:tcW w:w="236" w:type="dxa"/>
            <w:vAlign w:val="center"/>
          </w:tcPr>
          <w:p w:rsidR="00564717" w:rsidRPr="008B39D8" w:rsidRDefault="00564717" w:rsidP="00AE1237">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sz w:val="18"/>
                <w:szCs w:val="18"/>
                <w:lang w:val="it-IT"/>
              </w:rPr>
            </w:pPr>
            <w:r w:rsidRPr="008B39D8">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sz w:val="18"/>
                <w:szCs w:val="18"/>
                <w:lang w:val="it-IT"/>
              </w:rPr>
            </w:pPr>
            <w:r w:rsidRPr="008B39D8">
              <w:rPr>
                <w:rFonts w:ascii="Arial" w:hAnsi="Arial" w:cs="Arial"/>
                <w:sz w:val="18"/>
                <w:szCs w:val="18"/>
                <w:lang w:val="it-IT"/>
              </w:rPr>
              <w:t>96</w:t>
            </w:r>
          </w:p>
        </w:tc>
        <w:tc>
          <w:tcPr>
            <w:tcW w:w="236" w:type="dxa"/>
            <w:vAlign w:val="center"/>
          </w:tcPr>
          <w:p w:rsidR="00564717" w:rsidRPr="008B39D8" w:rsidRDefault="00564717" w:rsidP="00AE1237">
            <w:pPr>
              <w:spacing w:line="276" w:lineRule="auto"/>
              <w:ind w:right="-2"/>
              <w:jc w:val="center"/>
              <w:rPr>
                <w:rFonts w:ascii="Arial" w:hAnsi="Arial" w:cs="Arial"/>
                <w:sz w:val="18"/>
                <w:szCs w:val="18"/>
                <w:lang w:val="it-IT"/>
              </w:rPr>
            </w:pPr>
          </w:p>
        </w:tc>
        <w:tc>
          <w:tcPr>
            <w:tcW w:w="1304"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sz w:val="18"/>
                <w:szCs w:val="18"/>
                <w:lang w:val="it-IT"/>
              </w:rPr>
            </w:pPr>
            <w:r w:rsidRPr="008B39D8">
              <w:rPr>
                <w:rFonts w:ascii="Arial" w:hAnsi="Arial" w:cs="Arial"/>
                <w:sz w:val="18"/>
                <w:szCs w:val="18"/>
                <w:lang w:val="it-IT"/>
              </w:rPr>
              <w:t>-</w:t>
            </w:r>
          </w:p>
        </w:tc>
      </w:tr>
      <w:tr w:rsidR="00564717" w:rsidRPr="008B39D8" w:rsidTr="00AE1237">
        <w:trPr>
          <w:trHeight w:val="340"/>
        </w:trPr>
        <w:tc>
          <w:tcPr>
            <w:tcW w:w="250" w:type="dxa"/>
            <w:vAlign w:val="center"/>
          </w:tcPr>
          <w:p w:rsidR="00564717" w:rsidRPr="008B39D8" w:rsidRDefault="00564717" w:rsidP="00AE1237">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564717" w:rsidRPr="008B39D8" w:rsidRDefault="00564717" w:rsidP="00AE1237">
            <w:pPr>
              <w:spacing w:line="276" w:lineRule="auto"/>
              <w:ind w:right="-2"/>
              <w:rPr>
                <w:rFonts w:ascii="Arial" w:hAnsi="Arial" w:cs="Arial"/>
                <w:sz w:val="18"/>
                <w:szCs w:val="18"/>
                <w:lang w:val="it-IT"/>
              </w:rPr>
            </w:pPr>
            <w:r w:rsidRPr="008B39D8">
              <w:rPr>
                <w:rFonts w:ascii="Arial" w:hAnsi="Arial" w:cs="Arial"/>
                <w:bCs/>
                <w:sz w:val="18"/>
                <w:szCs w:val="18"/>
                <w:lang w:val="it-IT" w:eastAsia="de-DE"/>
              </w:rPr>
              <w:t>Intel</w:t>
            </w:r>
            <w:r w:rsidRPr="008B39D8">
              <w:rPr>
                <w:rFonts w:ascii="Arial" w:hAnsi="Arial" w:cs="Arial"/>
                <w:bCs/>
                <w:sz w:val="18"/>
                <w:szCs w:val="18"/>
                <w:vertAlign w:val="superscript"/>
                <w:lang w:val="it-IT" w:eastAsia="de-DE"/>
              </w:rPr>
              <w:t>®</w:t>
            </w:r>
            <w:r w:rsidRPr="008B39D8">
              <w:rPr>
                <w:rFonts w:ascii="Arial" w:hAnsi="Arial" w:cs="Arial"/>
                <w:bCs/>
                <w:sz w:val="18"/>
                <w:szCs w:val="18"/>
                <w:lang w:val="it-IT" w:eastAsia="de-DE"/>
              </w:rPr>
              <w:t xml:space="preserve"> Core™ </w:t>
            </w:r>
            <w:r w:rsidRPr="008B39D8">
              <w:rPr>
                <w:rFonts w:ascii="Arial" w:hAnsi="Arial" w:cs="Arial"/>
                <w:sz w:val="18"/>
                <w:szCs w:val="18"/>
                <w:lang w:val="it-IT"/>
              </w:rPr>
              <w:t>i7-1185GRE</w:t>
            </w:r>
          </w:p>
        </w:tc>
        <w:tc>
          <w:tcPr>
            <w:tcW w:w="283" w:type="dxa"/>
            <w:vAlign w:val="center"/>
          </w:tcPr>
          <w:p w:rsidR="00564717" w:rsidRPr="008B39D8" w:rsidRDefault="00564717" w:rsidP="00AE1237">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sz w:val="18"/>
                <w:szCs w:val="18"/>
                <w:lang w:val="it-IT"/>
              </w:rPr>
            </w:pPr>
            <w:r w:rsidRPr="008B39D8">
              <w:rPr>
                <w:rFonts w:ascii="Arial" w:hAnsi="Arial" w:cs="Arial"/>
                <w:sz w:val="18"/>
                <w:szCs w:val="18"/>
                <w:lang w:val="it-IT"/>
              </w:rPr>
              <w:t>4/8</w:t>
            </w:r>
          </w:p>
        </w:tc>
        <w:tc>
          <w:tcPr>
            <w:tcW w:w="236" w:type="dxa"/>
            <w:vAlign w:val="center"/>
          </w:tcPr>
          <w:p w:rsidR="00564717" w:rsidRPr="008B39D8" w:rsidRDefault="00564717" w:rsidP="00AE1237">
            <w:pPr>
              <w:spacing w:line="276" w:lineRule="auto"/>
              <w:ind w:right="-2"/>
              <w:jc w:val="center"/>
              <w:rPr>
                <w:rFonts w:ascii="Arial" w:hAnsi="Arial" w:cs="Arial"/>
                <w:sz w:val="18"/>
                <w:szCs w:val="18"/>
                <w:lang w:val="it-IT"/>
              </w:rPr>
            </w:pPr>
          </w:p>
        </w:tc>
        <w:tc>
          <w:tcPr>
            <w:tcW w:w="1531"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sz w:val="18"/>
                <w:szCs w:val="18"/>
                <w:lang w:val="it-IT"/>
              </w:rPr>
            </w:pPr>
            <w:r w:rsidRPr="008B39D8">
              <w:rPr>
                <w:rFonts w:ascii="Arial" w:hAnsi="Arial" w:cs="Arial"/>
                <w:sz w:val="18"/>
                <w:szCs w:val="18"/>
                <w:lang w:val="it-IT"/>
              </w:rPr>
              <w:t>2.8/1.8/1.2 (4.4)</w:t>
            </w:r>
          </w:p>
        </w:tc>
        <w:tc>
          <w:tcPr>
            <w:tcW w:w="236" w:type="dxa"/>
            <w:vAlign w:val="center"/>
          </w:tcPr>
          <w:p w:rsidR="00564717" w:rsidRPr="008B39D8" w:rsidRDefault="00564717" w:rsidP="00AE1237">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sz w:val="18"/>
                <w:szCs w:val="18"/>
                <w:lang w:val="it-IT"/>
              </w:rPr>
            </w:pPr>
            <w:r w:rsidRPr="008B39D8">
              <w:rPr>
                <w:rFonts w:ascii="Arial" w:hAnsi="Arial" w:cs="Arial"/>
                <w:sz w:val="18"/>
                <w:szCs w:val="18"/>
                <w:lang w:val="it-IT"/>
              </w:rPr>
              <w:t>12</w:t>
            </w:r>
          </w:p>
        </w:tc>
        <w:tc>
          <w:tcPr>
            <w:tcW w:w="1077"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sz w:val="18"/>
                <w:szCs w:val="18"/>
                <w:lang w:val="it-IT"/>
              </w:rPr>
            </w:pPr>
            <w:r w:rsidRPr="008B39D8">
              <w:rPr>
                <w:rFonts w:ascii="Arial" w:hAnsi="Arial" w:cs="Arial"/>
                <w:sz w:val="18"/>
                <w:szCs w:val="18"/>
                <w:lang w:val="it-IT"/>
              </w:rPr>
              <w:t>96</w:t>
            </w:r>
          </w:p>
        </w:tc>
        <w:tc>
          <w:tcPr>
            <w:tcW w:w="236" w:type="dxa"/>
            <w:vAlign w:val="center"/>
          </w:tcPr>
          <w:p w:rsidR="00564717" w:rsidRPr="008B39D8" w:rsidRDefault="00564717" w:rsidP="00AE1237">
            <w:pPr>
              <w:spacing w:line="276" w:lineRule="auto"/>
              <w:ind w:right="-2"/>
              <w:jc w:val="center"/>
              <w:rPr>
                <w:rFonts w:ascii="Arial" w:hAnsi="Arial" w:cs="Arial"/>
                <w:sz w:val="18"/>
                <w:szCs w:val="18"/>
                <w:lang w:val="it-IT"/>
              </w:rPr>
            </w:pPr>
          </w:p>
        </w:tc>
        <w:tc>
          <w:tcPr>
            <w:tcW w:w="1304"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sz w:val="18"/>
                <w:szCs w:val="18"/>
                <w:lang w:val="it-IT"/>
              </w:rPr>
            </w:pPr>
            <w:proofErr w:type="spellStart"/>
            <w:r w:rsidRPr="008B39D8">
              <w:rPr>
                <w:rFonts w:ascii="Arial" w:hAnsi="Arial" w:cs="Arial"/>
                <w:sz w:val="18"/>
                <w:szCs w:val="18"/>
                <w:lang w:val="it-IT"/>
              </w:rPr>
              <w:t>oui</w:t>
            </w:r>
            <w:proofErr w:type="spellEnd"/>
          </w:p>
        </w:tc>
      </w:tr>
      <w:tr w:rsidR="00564717" w:rsidRPr="008B39D8" w:rsidTr="00AE1237">
        <w:trPr>
          <w:trHeight w:val="340"/>
        </w:trPr>
        <w:tc>
          <w:tcPr>
            <w:tcW w:w="250" w:type="dxa"/>
            <w:vAlign w:val="center"/>
          </w:tcPr>
          <w:p w:rsidR="00564717" w:rsidRPr="008B39D8" w:rsidRDefault="00564717" w:rsidP="00AE1237">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564717" w:rsidRPr="008B39D8" w:rsidRDefault="00564717" w:rsidP="00AE1237">
            <w:pPr>
              <w:spacing w:line="276" w:lineRule="auto"/>
              <w:ind w:right="-2"/>
              <w:rPr>
                <w:rFonts w:ascii="Arial" w:hAnsi="Arial" w:cs="Arial"/>
                <w:bCs/>
                <w:sz w:val="18"/>
                <w:szCs w:val="18"/>
                <w:lang w:val="it-IT" w:eastAsia="de-DE"/>
              </w:rPr>
            </w:pPr>
            <w:r w:rsidRPr="008B39D8">
              <w:rPr>
                <w:rFonts w:ascii="Arial" w:hAnsi="Arial" w:cs="Arial"/>
                <w:bCs/>
                <w:sz w:val="18"/>
                <w:szCs w:val="18"/>
                <w:lang w:val="it-IT" w:eastAsia="de-DE"/>
              </w:rPr>
              <w:t>Intel</w:t>
            </w:r>
            <w:r w:rsidRPr="008B39D8">
              <w:rPr>
                <w:rFonts w:ascii="Arial" w:hAnsi="Arial" w:cs="Arial"/>
                <w:bCs/>
                <w:sz w:val="18"/>
                <w:szCs w:val="18"/>
                <w:vertAlign w:val="superscript"/>
                <w:lang w:val="it-IT" w:eastAsia="de-DE"/>
              </w:rPr>
              <w:t>®</w:t>
            </w:r>
            <w:r w:rsidRPr="008B39D8">
              <w:rPr>
                <w:rFonts w:ascii="Arial" w:hAnsi="Arial" w:cs="Arial"/>
                <w:bCs/>
                <w:sz w:val="18"/>
                <w:szCs w:val="18"/>
                <w:lang w:val="it-IT" w:eastAsia="de-DE"/>
              </w:rPr>
              <w:t xml:space="preserve"> Core™ i5-1145G7E</w:t>
            </w:r>
          </w:p>
        </w:tc>
        <w:tc>
          <w:tcPr>
            <w:tcW w:w="283" w:type="dxa"/>
            <w:vAlign w:val="center"/>
          </w:tcPr>
          <w:p w:rsidR="00564717" w:rsidRPr="008B39D8" w:rsidRDefault="00564717" w:rsidP="00AE1237">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4/8</w:t>
            </w:r>
          </w:p>
        </w:tc>
        <w:tc>
          <w:tcPr>
            <w:tcW w:w="236" w:type="dxa"/>
            <w:vAlign w:val="center"/>
          </w:tcPr>
          <w:p w:rsidR="00564717" w:rsidRPr="008B39D8" w:rsidRDefault="00564717" w:rsidP="00AE1237">
            <w:pPr>
              <w:spacing w:line="276" w:lineRule="auto"/>
              <w:ind w:right="-2"/>
              <w:jc w:val="center"/>
              <w:rPr>
                <w:rFonts w:ascii="Arial" w:hAnsi="Arial" w:cs="Arial"/>
                <w:bCs/>
                <w:sz w:val="18"/>
                <w:szCs w:val="18"/>
                <w:lang w:val="it-IT" w:eastAsia="de-DE"/>
              </w:rPr>
            </w:pPr>
          </w:p>
        </w:tc>
        <w:tc>
          <w:tcPr>
            <w:tcW w:w="1531"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2.6/1.5/1.1 (4.1)</w:t>
            </w:r>
          </w:p>
        </w:tc>
        <w:tc>
          <w:tcPr>
            <w:tcW w:w="236" w:type="dxa"/>
            <w:vAlign w:val="center"/>
          </w:tcPr>
          <w:p w:rsidR="00564717" w:rsidRPr="008B39D8" w:rsidRDefault="00564717" w:rsidP="00AE1237">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8</w:t>
            </w:r>
          </w:p>
        </w:tc>
        <w:tc>
          <w:tcPr>
            <w:tcW w:w="1077"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80</w:t>
            </w:r>
          </w:p>
        </w:tc>
        <w:tc>
          <w:tcPr>
            <w:tcW w:w="236" w:type="dxa"/>
            <w:vAlign w:val="center"/>
          </w:tcPr>
          <w:p w:rsidR="00564717" w:rsidRPr="008B39D8" w:rsidRDefault="00564717" w:rsidP="00AE1237">
            <w:pPr>
              <w:spacing w:line="360" w:lineRule="auto"/>
              <w:ind w:right="-2"/>
              <w:jc w:val="center"/>
              <w:rPr>
                <w:rFonts w:ascii="Arial" w:hAnsi="Arial" w:cs="Arial"/>
                <w:bCs/>
                <w:sz w:val="18"/>
                <w:szCs w:val="18"/>
                <w:lang w:val="it-IT" w:eastAsia="de-DE"/>
              </w:rPr>
            </w:pPr>
          </w:p>
        </w:tc>
        <w:tc>
          <w:tcPr>
            <w:tcW w:w="1304"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sz w:val="18"/>
                <w:szCs w:val="18"/>
                <w:lang w:val="it-IT"/>
              </w:rPr>
              <w:t>-</w:t>
            </w:r>
          </w:p>
        </w:tc>
      </w:tr>
      <w:tr w:rsidR="00564717" w:rsidRPr="008B39D8" w:rsidTr="00AE1237">
        <w:trPr>
          <w:trHeight w:val="340"/>
        </w:trPr>
        <w:tc>
          <w:tcPr>
            <w:tcW w:w="250" w:type="dxa"/>
            <w:vAlign w:val="center"/>
          </w:tcPr>
          <w:p w:rsidR="00564717" w:rsidRPr="008B39D8" w:rsidRDefault="00564717" w:rsidP="00AE1237">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564717" w:rsidRPr="008B39D8" w:rsidRDefault="00564717" w:rsidP="00AE1237">
            <w:pPr>
              <w:spacing w:line="276" w:lineRule="auto"/>
              <w:ind w:right="-2"/>
              <w:rPr>
                <w:rFonts w:ascii="Arial" w:hAnsi="Arial" w:cs="Arial"/>
                <w:bCs/>
                <w:sz w:val="18"/>
                <w:szCs w:val="18"/>
                <w:lang w:val="it-IT" w:eastAsia="de-DE"/>
              </w:rPr>
            </w:pPr>
            <w:r w:rsidRPr="008B39D8">
              <w:rPr>
                <w:rFonts w:ascii="Arial" w:hAnsi="Arial" w:cs="Arial"/>
                <w:bCs/>
                <w:sz w:val="18"/>
                <w:szCs w:val="18"/>
                <w:lang w:val="it-IT" w:eastAsia="de-DE"/>
              </w:rPr>
              <w:t>Intel</w:t>
            </w:r>
            <w:r w:rsidRPr="008B39D8">
              <w:rPr>
                <w:rFonts w:ascii="Arial" w:hAnsi="Arial" w:cs="Arial"/>
                <w:bCs/>
                <w:sz w:val="18"/>
                <w:szCs w:val="18"/>
                <w:vertAlign w:val="superscript"/>
                <w:lang w:val="it-IT" w:eastAsia="de-DE"/>
              </w:rPr>
              <w:t>®</w:t>
            </w:r>
            <w:r w:rsidRPr="008B39D8">
              <w:rPr>
                <w:rFonts w:ascii="Arial" w:hAnsi="Arial" w:cs="Arial"/>
                <w:bCs/>
                <w:sz w:val="18"/>
                <w:szCs w:val="18"/>
                <w:lang w:val="it-IT" w:eastAsia="de-DE"/>
              </w:rPr>
              <w:t xml:space="preserve"> Core™ i5-1145GRE</w:t>
            </w:r>
          </w:p>
        </w:tc>
        <w:tc>
          <w:tcPr>
            <w:tcW w:w="283" w:type="dxa"/>
            <w:vAlign w:val="center"/>
          </w:tcPr>
          <w:p w:rsidR="00564717" w:rsidRPr="008B39D8" w:rsidRDefault="00564717" w:rsidP="00AE1237">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4/8</w:t>
            </w:r>
          </w:p>
        </w:tc>
        <w:tc>
          <w:tcPr>
            <w:tcW w:w="236" w:type="dxa"/>
            <w:vAlign w:val="center"/>
          </w:tcPr>
          <w:p w:rsidR="00564717" w:rsidRPr="008B39D8" w:rsidRDefault="00564717" w:rsidP="00AE1237">
            <w:pPr>
              <w:spacing w:line="276" w:lineRule="auto"/>
              <w:ind w:right="-2"/>
              <w:jc w:val="center"/>
              <w:rPr>
                <w:rFonts w:ascii="Arial" w:hAnsi="Arial" w:cs="Arial"/>
                <w:bCs/>
                <w:sz w:val="18"/>
                <w:szCs w:val="18"/>
                <w:lang w:val="it-IT" w:eastAsia="de-DE"/>
              </w:rPr>
            </w:pPr>
          </w:p>
        </w:tc>
        <w:tc>
          <w:tcPr>
            <w:tcW w:w="1531"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2.6/1.5/1.1 (4.1)</w:t>
            </w:r>
          </w:p>
        </w:tc>
        <w:tc>
          <w:tcPr>
            <w:tcW w:w="236" w:type="dxa"/>
            <w:vAlign w:val="center"/>
          </w:tcPr>
          <w:p w:rsidR="00564717" w:rsidRPr="008B39D8" w:rsidRDefault="00564717" w:rsidP="00AE1237">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8</w:t>
            </w:r>
          </w:p>
        </w:tc>
        <w:tc>
          <w:tcPr>
            <w:tcW w:w="1077"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80</w:t>
            </w:r>
          </w:p>
        </w:tc>
        <w:tc>
          <w:tcPr>
            <w:tcW w:w="236" w:type="dxa"/>
            <w:vAlign w:val="center"/>
          </w:tcPr>
          <w:p w:rsidR="00564717" w:rsidRPr="008B39D8" w:rsidRDefault="00564717" w:rsidP="00AE1237">
            <w:pPr>
              <w:spacing w:line="360" w:lineRule="auto"/>
              <w:ind w:right="-2"/>
              <w:jc w:val="center"/>
              <w:rPr>
                <w:rFonts w:ascii="Arial" w:hAnsi="Arial" w:cs="Arial"/>
                <w:bCs/>
                <w:sz w:val="18"/>
                <w:szCs w:val="18"/>
                <w:lang w:val="it-IT" w:eastAsia="de-DE"/>
              </w:rPr>
            </w:pPr>
          </w:p>
        </w:tc>
        <w:tc>
          <w:tcPr>
            <w:tcW w:w="1304"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proofErr w:type="spellStart"/>
            <w:r w:rsidRPr="008B39D8">
              <w:rPr>
                <w:rFonts w:ascii="Arial" w:hAnsi="Arial" w:cs="Arial"/>
                <w:sz w:val="18"/>
                <w:szCs w:val="18"/>
                <w:lang w:val="it-IT"/>
              </w:rPr>
              <w:t>oui</w:t>
            </w:r>
            <w:proofErr w:type="spellEnd"/>
          </w:p>
        </w:tc>
      </w:tr>
      <w:tr w:rsidR="00564717" w:rsidRPr="008B39D8" w:rsidTr="00AE1237">
        <w:trPr>
          <w:trHeight w:val="340"/>
        </w:trPr>
        <w:tc>
          <w:tcPr>
            <w:tcW w:w="250" w:type="dxa"/>
            <w:vAlign w:val="center"/>
          </w:tcPr>
          <w:p w:rsidR="00564717" w:rsidRPr="008B39D8" w:rsidRDefault="00564717" w:rsidP="00AE1237">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564717" w:rsidRPr="008B39D8" w:rsidRDefault="00564717" w:rsidP="00AE1237">
            <w:pPr>
              <w:spacing w:line="276" w:lineRule="auto"/>
              <w:ind w:right="-2"/>
              <w:rPr>
                <w:rFonts w:ascii="Arial" w:hAnsi="Arial" w:cs="Arial"/>
                <w:bCs/>
                <w:sz w:val="18"/>
                <w:szCs w:val="18"/>
                <w:lang w:val="it-IT" w:eastAsia="de-DE"/>
              </w:rPr>
            </w:pPr>
            <w:r w:rsidRPr="008B39D8">
              <w:rPr>
                <w:rFonts w:ascii="Arial" w:hAnsi="Arial" w:cs="Arial"/>
                <w:bCs/>
                <w:sz w:val="18"/>
                <w:szCs w:val="18"/>
                <w:lang w:val="it-IT" w:eastAsia="de-DE"/>
              </w:rPr>
              <w:t>Intel</w:t>
            </w:r>
            <w:r w:rsidRPr="008B39D8">
              <w:rPr>
                <w:rFonts w:ascii="Arial" w:hAnsi="Arial" w:cs="Arial"/>
                <w:bCs/>
                <w:sz w:val="18"/>
                <w:szCs w:val="18"/>
                <w:vertAlign w:val="superscript"/>
                <w:lang w:val="it-IT" w:eastAsia="de-DE"/>
              </w:rPr>
              <w:t>®</w:t>
            </w:r>
            <w:r w:rsidRPr="008B39D8">
              <w:rPr>
                <w:rFonts w:ascii="Arial" w:hAnsi="Arial" w:cs="Arial"/>
                <w:bCs/>
                <w:sz w:val="18"/>
                <w:szCs w:val="18"/>
                <w:lang w:val="it-IT" w:eastAsia="de-DE"/>
              </w:rPr>
              <w:t xml:space="preserve"> Core™ i3-1115G4E</w:t>
            </w:r>
          </w:p>
        </w:tc>
        <w:tc>
          <w:tcPr>
            <w:tcW w:w="283" w:type="dxa"/>
            <w:vAlign w:val="center"/>
          </w:tcPr>
          <w:p w:rsidR="00564717" w:rsidRPr="008B39D8" w:rsidRDefault="00564717" w:rsidP="00AE1237">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2/4</w:t>
            </w:r>
          </w:p>
        </w:tc>
        <w:tc>
          <w:tcPr>
            <w:tcW w:w="236" w:type="dxa"/>
            <w:vAlign w:val="center"/>
          </w:tcPr>
          <w:p w:rsidR="00564717" w:rsidRPr="008B39D8" w:rsidRDefault="00564717" w:rsidP="00AE1237">
            <w:pPr>
              <w:spacing w:line="276" w:lineRule="auto"/>
              <w:ind w:right="-2"/>
              <w:jc w:val="center"/>
              <w:rPr>
                <w:rFonts w:ascii="Arial" w:hAnsi="Arial" w:cs="Arial"/>
                <w:bCs/>
                <w:sz w:val="18"/>
                <w:szCs w:val="18"/>
                <w:lang w:val="it-IT" w:eastAsia="de-DE"/>
              </w:rPr>
            </w:pPr>
          </w:p>
        </w:tc>
        <w:tc>
          <w:tcPr>
            <w:tcW w:w="1531"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3.0/2.2/1.7 (3.9)</w:t>
            </w:r>
          </w:p>
        </w:tc>
        <w:tc>
          <w:tcPr>
            <w:tcW w:w="236" w:type="dxa"/>
            <w:vAlign w:val="center"/>
          </w:tcPr>
          <w:p w:rsidR="00564717" w:rsidRPr="008B39D8" w:rsidRDefault="00564717" w:rsidP="00AE1237">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6</w:t>
            </w:r>
          </w:p>
        </w:tc>
        <w:tc>
          <w:tcPr>
            <w:tcW w:w="1077"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48</w:t>
            </w:r>
          </w:p>
        </w:tc>
        <w:tc>
          <w:tcPr>
            <w:tcW w:w="236" w:type="dxa"/>
            <w:vAlign w:val="center"/>
          </w:tcPr>
          <w:p w:rsidR="00564717" w:rsidRPr="008B39D8" w:rsidRDefault="00564717" w:rsidP="00AE1237">
            <w:pPr>
              <w:spacing w:line="360" w:lineRule="auto"/>
              <w:ind w:right="-2"/>
              <w:jc w:val="center"/>
              <w:rPr>
                <w:rFonts w:ascii="Arial" w:hAnsi="Arial" w:cs="Arial"/>
                <w:bCs/>
                <w:sz w:val="18"/>
                <w:szCs w:val="18"/>
                <w:lang w:val="it-IT" w:eastAsia="de-DE"/>
              </w:rPr>
            </w:pPr>
          </w:p>
        </w:tc>
        <w:tc>
          <w:tcPr>
            <w:tcW w:w="1304"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sz w:val="18"/>
                <w:szCs w:val="18"/>
                <w:lang w:val="it-IT"/>
              </w:rPr>
              <w:t>-</w:t>
            </w:r>
          </w:p>
        </w:tc>
      </w:tr>
      <w:tr w:rsidR="00564717" w:rsidRPr="008B39D8" w:rsidTr="00AE1237">
        <w:trPr>
          <w:trHeight w:val="340"/>
        </w:trPr>
        <w:tc>
          <w:tcPr>
            <w:tcW w:w="250" w:type="dxa"/>
            <w:vAlign w:val="center"/>
          </w:tcPr>
          <w:p w:rsidR="00564717" w:rsidRPr="008B39D8" w:rsidRDefault="00564717" w:rsidP="00AE1237">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564717" w:rsidRPr="008B39D8" w:rsidRDefault="00564717" w:rsidP="00AE1237">
            <w:pPr>
              <w:spacing w:line="276" w:lineRule="auto"/>
              <w:ind w:right="-2"/>
              <w:rPr>
                <w:rFonts w:ascii="Arial" w:hAnsi="Arial" w:cs="Arial"/>
                <w:bCs/>
                <w:sz w:val="18"/>
                <w:szCs w:val="18"/>
                <w:lang w:val="it-IT" w:eastAsia="de-DE"/>
              </w:rPr>
            </w:pPr>
            <w:r w:rsidRPr="008B39D8">
              <w:rPr>
                <w:rFonts w:ascii="Arial" w:hAnsi="Arial" w:cs="Arial"/>
                <w:bCs/>
                <w:sz w:val="18"/>
                <w:szCs w:val="18"/>
                <w:lang w:val="it-IT" w:eastAsia="de-DE"/>
              </w:rPr>
              <w:t>Intel</w:t>
            </w:r>
            <w:r w:rsidRPr="008B39D8">
              <w:rPr>
                <w:rFonts w:ascii="Arial" w:hAnsi="Arial" w:cs="Arial"/>
                <w:bCs/>
                <w:sz w:val="18"/>
                <w:szCs w:val="18"/>
                <w:vertAlign w:val="superscript"/>
                <w:lang w:val="it-IT" w:eastAsia="de-DE"/>
              </w:rPr>
              <w:t>®</w:t>
            </w:r>
            <w:r w:rsidRPr="008B39D8">
              <w:rPr>
                <w:rFonts w:ascii="Arial" w:hAnsi="Arial" w:cs="Arial"/>
                <w:bCs/>
                <w:sz w:val="18"/>
                <w:szCs w:val="18"/>
                <w:lang w:val="it-IT" w:eastAsia="de-DE"/>
              </w:rPr>
              <w:t xml:space="preserve"> Core™ i3-1115GRE</w:t>
            </w:r>
          </w:p>
        </w:tc>
        <w:tc>
          <w:tcPr>
            <w:tcW w:w="283" w:type="dxa"/>
            <w:vAlign w:val="center"/>
          </w:tcPr>
          <w:p w:rsidR="00564717" w:rsidRPr="008B39D8" w:rsidRDefault="00564717" w:rsidP="00AE1237">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2/4</w:t>
            </w:r>
          </w:p>
        </w:tc>
        <w:tc>
          <w:tcPr>
            <w:tcW w:w="236" w:type="dxa"/>
            <w:vAlign w:val="center"/>
          </w:tcPr>
          <w:p w:rsidR="00564717" w:rsidRPr="008B39D8" w:rsidRDefault="00564717" w:rsidP="00AE1237">
            <w:pPr>
              <w:spacing w:line="276" w:lineRule="auto"/>
              <w:ind w:right="-2"/>
              <w:jc w:val="center"/>
              <w:rPr>
                <w:rFonts w:ascii="Arial" w:hAnsi="Arial" w:cs="Arial"/>
                <w:bCs/>
                <w:sz w:val="18"/>
                <w:szCs w:val="18"/>
                <w:lang w:val="it-IT" w:eastAsia="de-DE"/>
              </w:rPr>
            </w:pPr>
          </w:p>
        </w:tc>
        <w:tc>
          <w:tcPr>
            <w:tcW w:w="1531"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3.0/2.2/1.7 (3.9)</w:t>
            </w:r>
          </w:p>
        </w:tc>
        <w:tc>
          <w:tcPr>
            <w:tcW w:w="236" w:type="dxa"/>
            <w:vAlign w:val="center"/>
          </w:tcPr>
          <w:p w:rsidR="00564717" w:rsidRPr="008B39D8" w:rsidRDefault="00564717" w:rsidP="00AE1237">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6</w:t>
            </w:r>
          </w:p>
        </w:tc>
        <w:tc>
          <w:tcPr>
            <w:tcW w:w="1077"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48</w:t>
            </w:r>
          </w:p>
        </w:tc>
        <w:tc>
          <w:tcPr>
            <w:tcW w:w="236" w:type="dxa"/>
            <w:vAlign w:val="center"/>
          </w:tcPr>
          <w:p w:rsidR="00564717" w:rsidRPr="008B39D8" w:rsidRDefault="00564717" w:rsidP="00AE1237">
            <w:pPr>
              <w:spacing w:line="360" w:lineRule="auto"/>
              <w:ind w:right="-2"/>
              <w:jc w:val="center"/>
              <w:rPr>
                <w:rFonts w:ascii="Arial" w:hAnsi="Arial" w:cs="Arial"/>
                <w:bCs/>
                <w:sz w:val="18"/>
                <w:szCs w:val="18"/>
                <w:lang w:val="it-IT" w:eastAsia="de-DE"/>
              </w:rPr>
            </w:pPr>
          </w:p>
        </w:tc>
        <w:tc>
          <w:tcPr>
            <w:tcW w:w="1304"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proofErr w:type="spellStart"/>
            <w:r w:rsidRPr="008B39D8">
              <w:rPr>
                <w:rFonts w:ascii="Arial" w:hAnsi="Arial" w:cs="Arial"/>
                <w:sz w:val="18"/>
                <w:szCs w:val="18"/>
                <w:lang w:val="it-IT"/>
              </w:rPr>
              <w:t>oui</w:t>
            </w:r>
            <w:proofErr w:type="spellEnd"/>
          </w:p>
        </w:tc>
      </w:tr>
      <w:tr w:rsidR="00564717" w:rsidRPr="008B39D8" w:rsidTr="00AE1237">
        <w:trPr>
          <w:trHeight w:val="340"/>
        </w:trPr>
        <w:tc>
          <w:tcPr>
            <w:tcW w:w="250" w:type="dxa"/>
            <w:vAlign w:val="center"/>
          </w:tcPr>
          <w:p w:rsidR="00564717" w:rsidRPr="008B39D8" w:rsidRDefault="00564717" w:rsidP="00AE1237">
            <w:pPr>
              <w:spacing w:line="276" w:lineRule="auto"/>
              <w:ind w:right="-2"/>
              <w:rPr>
                <w:rFonts w:ascii="Arial" w:hAnsi="Arial" w:cs="Arial"/>
                <w:sz w:val="18"/>
                <w:szCs w:val="18"/>
                <w:lang w:val="it-IT"/>
              </w:rPr>
            </w:pPr>
          </w:p>
        </w:tc>
        <w:tc>
          <w:tcPr>
            <w:tcW w:w="2324" w:type="dxa"/>
            <w:tcBorders>
              <w:top w:val="single" w:sz="4" w:space="0" w:color="auto"/>
              <w:bottom w:val="single" w:sz="4" w:space="0" w:color="auto"/>
            </w:tcBorders>
            <w:vAlign w:val="center"/>
          </w:tcPr>
          <w:p w:rsidR="00564717" w:rsidRPr="008B39D8" w:rsidRDefault="00564717" w:rsidP="00AE1237">
            <w:pPr>
              <w:spacing w:line="276" w:lineRule="auto"/>
              <w:ind w:right="-2"/>
              <w:rPr>
                <w:rFonts w:ascii="Arial" w:hAnsi="Arial" w:cs="Arial"/>
                <w:bCs/>
                <w:sz w:val="18"/>
                <w:szCs w:val="18"/>
                <w:lang w:val="it-IT" w:eastAsia="de-DE"/>
              </w:rPr>
            </w:pPr>
            <w:r w:rsidRPr="008B39D8">
              <w:rPr>
                <w:rFonts w:ascii="Arial" w:hAnsi="Arial" w:cs="Arial"/>
                <w:bCs/>
                <w:sz w:val="18"/>
                <w:szCs w:val="18"/>
                <w:lang w:val="it-IT" w:eastAsia="de-DE"/>
              </w:rPr>
              <w:t>Intel</w:t>
            </w:r>
            <w:r w:rsidRPr="008B39D8">
              <w:rPr>
                <w:rFonts w:ascii="Arial" w:hAnsi="Arial" w:cs="Arial"/>
                <w:bCs/>
                <w:sz w:val="18"/>
                <w:szCs w:val="18"/>
                <w:vertAlign w:val="superscript"/>
                <w:lang w:val="it-IT" w:eastAsia="de-DE"/>
              </w:rPr>
              <w:t>®</w:t>
            </w:r>
            <w:r w:rsidRPr="008B39D8">
              <w:rPr>
                <w:rFonts w:ascii="Arial" w:hAnsi="Arial" w:cs="Arial"/>
                <w:bCs/>
                <w:sz w:val="18"/>
                <w:szCs w:val="18"/>
                <w:lang w:val="it-IT" w:eastAsia="de-DE"/>
              </w:rPr>
              <w:t xml:space="preserve"> Celeron</w:t>
            </w:r>
            <w:r w:rsidRPr="008B39D8">
              <w:rPr>
                <w:rFonts w:ascii="Arial" w:hAnsi="Arial" w:cs="Arial"/>
                <w:bCs/>
                <w:sz w:val="18"/>
                <w:szCs w:val="18"/>
                <w:vertAlign w:val="superscript"/>
                <w:lang w:val="it-IT" w:eastAsia="de-DE"/>
              </w:rPr>
              <w:t>®</w:t>
            </w:r>
            <w:r w:rsidRPr="008B39D8">
              <w:rPr>
                <w:rFonts w:ascii="Arial" w:hAnsi="Arial" w:cs="Arial"/>
                <w:bCs/>
                <w:sz w:val="18"/>
                <w:szCs w:val="18"/>
                <w:lang w:val="it-IT" w:eastAsia="de-DE"/>
              </w:rPr>
              <w:t xml:space="preserve"> 6305E</w:t>
            </w:r>
          </w:p>
        </w:tc>
        <w:tc>
          <w:tcPr>
            <w:tcW w:w="283" w:type="dxa"/>
            <w:vAlign w:val="center"/>
          </w:tcPr>
          <w:p w:rsidR="00564717" w:rsidRPr="008B39D8" w:rsidRDefault="00564717" w:rsidP="00AE1237">
            <w:pPr>
              <w:spacing w:line="276" w:lineRule="auto"/>
              <w:ind w:right="-2"/>
              <w:rPr>
                <w:rFonts w:ascii="Arial" w:hAnsi="Arial" w:cs="Arial"/>
                <w:sz w:val="18"/>
                <w:szCs w:val="18"/>
                <w:lang w:val="it-IT"/>
              </w:rPr>
            </w:pPr>
          </w:p>
        </w:tc>
        <w:tc>
          <w:tcPr>
            <w:tcW w:w="964" w:type="dxa"/>
            <w:tcBorders>
              <w:top w:val="single" w:sz="4" w:space="0" w:color="auto"/>
              <w:bottom w:val="single" w:sz="4" w:space="0" w:color="auto"/>
            </w:tcBorders>
            <w:vAlign w:val="center"/>
          </w:tcPr>
          <w:p w:rsidR="00564717" w:rsidRPr="008B39D8" w:rsidRDefault="00564717" w:rsidP="00AE1237">
            <w:pPr>
              <w:spacing w:line="276"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2/2</w:t>
            </w:r>
          </w:p>
        </w:tc>
        <w:tc>
          <w:tcPr>
            <w:tcW w:w="236" w:type="dxa"/>
            <w:vAlign w:val="center"/>
          </w:tcPr>
          <w:p w:rsidR="00564717" w:rsidRPr="008B39D8" w:rsidRDefault="00564717" w:rsidP="00AE1237">
            <w:pPr>
              <w:spacing w:line="276" w:lineRule="auto"/>
              <w:ind w:right="-2"/>
              <w:jc w:val="center"/>
              <w:rPr>
                <w:rFonts w:ascii="Arial" w:hAnsi="Arial" w:cs="Arial"/>
                <w:bCs/>
                <w:sz w:val="18"/>
                <w:szCs w:val="18"/>
                <w:lang w:val="it-IT" w:eastAsia="de-DE"/>
              </w:rPr>
            </w:pPr>
          </w:p>
        </w:tc>
        <w:tc>
          <w:tcPr>
            <w:tcW w:w="1531"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1.8 (n/a)</w:t>
            </w:r>
          </w:p>
        </w:tc>
        <w:tc>
          <w:tcPr>
            <w:tcW w:w="236" w:type="dxa"/>
            <w:vAlign w:val="center"/>
          </w:tcPr>
          <w:p w:rsidR="00564717" w:rsidRPr="008B39D8" w:rsidRDefault="00564717" w:rsidP="00AE1237">
            <w:pPr>
              <w:spacing w:line="276" w:lineRule="auto"/>
              <w:ind w:right="-2"/>
              <w:jc w:val="center"/>
              <w:rPr>
                <w:rFonts w:ascii="Arial" w:hAnsi="Arial" w:cs="Arial"/>
                <w:sz w:val="18"/>
                <w:szCs w:val="18"/>
                <w:lang w:val="it-IT"/>
              </w:rPr>
            </w:pPr>
          </w:p>
        </w:tc>
        <w:tc>
          <w:tcPr>
            <w:tcW w:w="794"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4</w:t>
            </w:r>
          </w:p>
        </w:tc>
        <w:tc>
          <w:tcPr>
            <w:tcW w:w="1077"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bCs/>
                <w:sz w:val="18"/>
                <w:szCs w:val="18"/>
                <w:lang w:val="it-IT" w:eastAsia="de-DE"/>
              </w:rPr>
            </w:pPr>
            <w:r w:rsidRPr="008B39D8">
              <w:rPr>
                <w:rFonts w:ascii="Arial" w:hAnsi="Arial" w:cs="Arial"/>
                <w:bCs/>
                <w:sz w:val="18"/>
                <w:szCs w:val="18"/>
                <w:lang w:val="it-IT" w:eastAsia="de-DE"/>
              </w:rPr>
              <w:t>48</w:t>
            </w:r>
          </w:p>
        </w:tc>
        <w:tc>
          <w:tcPr>
            <w:tcW w:w="236" w:type="dxa"/>
            <w:vAlign w:val="center"/>
          </w:tcPr>
          <w:p w:rsidR="00564717" w:rsidRPr="008B39D8" w:rsidRDefault="00564717" w:rsidP="00AE1237">
            <w:pPr>
              <w:spacing w:line="360" w:lineRule="auto"/>
              <w:ind w:right="-2"/>
              <w:jc w:val="center"/>
              <w:rPr>
                <w:rFonts w:ascii="Arial" w:hAnsi="Arial" w:cs="Arial"/>
                <w:bCs/>
                <w:sz w:val="18"/>
                <w:szCs w:val="18"/>
                <w:lang w:val="it-IT" w:eastAsia="de-DE"/>
              </w:rPr>
            </w:pPr>
          </w:p>
        </w:tc>
        <w:tc>
          <w:tcPr>
            <w:tcW w:w="1304" w:type="dxa"/>
            <w:tcBorders>
              <w:top w:val="single" w:sz="4" w:space="0" w:color="auto"/>
              <w:bottom w:val="single" w:sz="4" w:space="0" w:color="auto"/>
            </w:tcBorders>
            <w:vAlign w:val="center"/>
          </w:tcPr>
          <w:p w:rsidR="00564717" w:rsidRPr="008B39D8" w:rsidRDefault="00564717" w:rsidP="00AE1237">
            <w:pPr>
              <w:spacing w:line="360" w:lineRule="auto"/>
              <w:ind w:right="-2"/>
              <w:jc w:val="center"/>
              <w:rPr>
                <w:rFonts w:ascii="Arial" w:hAnsi="Arial" w:cs="Arial"/>
                <w:sz w:val="18"/>
                <w:szCs w:val="18"/>
                <w:lang w:val="it-IT"/>
              </w:rPr>
            </w:pPr>
            <w:proofErr w:type="spellStart"/>
            <w:r w:rsidRPr="008B39D8">
              <w:rPr>
                <w:rFonts w:ascii="Arial" w:hAnsi="Arial" w:cs="Arial"/>
                <w:sz w:val="18"/>
                <w:szCs w:val="18"/>
                <w:lang w:val="it-IT"/>
              </w:rPr>
              <w:t>oui</w:t>
            </w:r>
            <w:proofErr w:type="spellEnd"/>
          </w:p>
        </w:tc>
      </w:tr>
    </w:tbl>
    <w:p w:rsidR="00564717" w:rsidRPr="008B39D8" w:rsidRDefault="00564717" w:rsidP="00564717">
      <w:pPr>
        <w:spacing w:line="360" w:lineRule="auto"/>
        <w:ind w:right="-2"/>
        <w:rPr>
          <w:rFonts w:ascii="Arial" w:hAnsi="Arial" w:cs="Arial"/>
          <w:sz w:val="22"/>
          <w:szCs w:val="22"/>
          <w:lang w:val="en-US"/>
        </w:rPr>
      </w:pPr>
    </w:p>
    <w:p w:rsidR="00564717" w:rsidRPr="00783DF7" w:rsidRDefault="00564717" w:rsidP="00564717">
      <w:pPr>
        <w:spacing w:line="360" w:lineRule="auto"/>
        <w:ind w:right="-2"/>
        <w:rPr>
          <w:rFonts w:ascii="Arial" w:hAnsi="Arial" w:cs="Arial"/>
          <w:sz w:val="22"/>
          <w:szCs w:val="22"/>
        </w:rPr>
      </w:pPr>
      <w:r w:rsidRPr="00783DF7">
        <w:rPr>
          <w:rFonts w:ascii="Arial" w:hAnsi="Arial" w:cs="Arial"/>
          <w:sz w:val="22"/>
          <w:szCs w:val="22"/>
        </w:rPr>
        <w:t>Page d’accueil du conga-HPC/</w:t>
      </w:r>
      <w:proofErr w:type="spellStart"/>
      <w:r w:rsidRPr="00783DF7">
        <w:rPr>
          <w:rFonts w:ascii="Arial" w:hAnsi="Arial" w:cs="Arial"/>
          <w:sz w:val="22"/>
          <w:szCs w:val="22"/>
        </w:rPr>
        <w:t>cTLU</w:t>
      </w:r>
      <w:proofErr w:type="spellEnd"/>
      <w:r w:rsidRPr="00783DF7">
        <w:rPr>
          <w:rFonts w:ascii="Arial" w:hAnsi="Arial" w:cs="Arial"/>
          <w:sz w:val="22"/>
          <w:szCs w:val="22"/>
        </w:rPr>
        <w:t xml:space="preserve"> : </w:t>
      </w:r>
    </w:p>
    <w:p w:rsidR="00564717" w:rsidRDefault="00C543C3" w:rsidP="00564717">
      <w:pPr>
        <w:spacing w:line="360" w:lineRule="auto"/>
        <w:ind w:right="-2"/>
        <w:rPr>
          <w:rFonts w:ascii="Arial" w:hAnsi="Arial" w:cs="Arial"/>
        </w:rPr>
      </w:pPr>
      <w:hyperlink r:id="rId12" w:history="1">
        <w:r w:rsidR="008B39D8" w:rsidRPr="00E54B09">
          <w:rPr>
            <w:rStyle w:val="Hyperlink"/>
            <w:rFonts w:ascii="Arial" w:hAnsi="Arial" w:cs="Arial"/>
          </w:rPr>
          <w:t>https://www.congatec.com/fr/produits/com-hpc/conga-hpcctlu/</w:t>
        </w:r>
      </w:hyperlink>
    </w:p>
    <w:p w:rsidR="008B39D8" w:rsidRPr="00783DF7" w:rsidRDefault="008B39D8" w:rsidP="00564717">
      <w:pPr>
        <w:spacing w:line="360" w:lineRule="auto"/>
        <w:ind w:right="-2"/>
        <w:rPr>
          <w:rFonts w:ascii="Arial" w:hAnsi="Arial" w:cs="Arial"/>
          <w:sz w:val="22"/>
          <w:szCs w:val="22"/>
        </w:rPr>
      </w:pPr>
    </w:p>
    <w:p w:rsidR="00564717" w:rsidRPr="00783DF7" w:rsidRDefault="00564717" w:rsidP="00564717">
      <w:pPr>
        <w:spacing w:line="360" w:lineRule="auto"/>
        <w:ind w:right="-2"/>
        <w:rPr>
          <w:rFonts w:ascii="Arial" w:hAnsi="Arial" w:cs="Arial"/>
          <w:sz w:val="22"/>
          <w:szCs w:val="22"/>
        </w:rPr>
      </w:pPr>
      <w:r w:rsidRPr="00783DF7">
        <w:rPr>
          <w:rFonts w:ascii="Arial" w:hAnsi="Arial" w:cs="Arial"/>
          <w:sz w:val="22"/>
          <w:szCs w:val="22"/>
        </w:rPr>
        <w:t xml:space="preserve">Infos sur le standard COM-HPC et tout son écosystème : </w:t>
      </w:r>
      <w:hyperlink r:id="rId13" w:history="1">
        <w:r w:rsidRPr="00783DF7">
          <w:rPr>
            <w:rStyle w:val="Hyperlink"/>
            <w:rFonts w:ascii="Arial" w:hAnsi="Arial" w:cs="Arial"/>
            <w:sz w:val="22"/>
            <w:szCs w:val="22"/>
          </w:rPr>
          <w:t>https://www.congatec.com/com-hpc</w:t>
        </w:r>
      </w:hyperlink>
    </w:p>
    <w:p w:rsidR="00931403" w:rsidRPr="00783DF7" w:rsidRDefault="00931403" w:rsidP="00953DE9">
      <w:pPr>
        <w:pStyle w:val="Standard1"/>
        <w:spacing w:before="120"/>
        <w:rPr>
          <w:rFonts w:ascii="Arial" w:hAnsi="Arial" w:cs="Arial"/>
          <w:bCs/>
          <w:sz w:val="16"/>
          <w:szCs w:val="16"/>
          <w:lang w:eastAsia="ar-SA" w:bidi="ar-SA"/>
        </w:rPr>
      </w:pPr>
    </w:p>
    <w:p w:rsidR="002516D2" w:rsidRPr="008B39D8" w:rsidRDefault="002516D2" w:rsidP="002516D2">
      <w:pPr>
        <w:pStyle w:val="xxstandard1"/>
        <w:ind w:right="283"/>
        <w:rPr>
          <w:rFonts w:ascii="Arial" w:hAnsi="Arial" w:cs="Arial"/>
          <w:b/>
          <w:sz w:val="16"/>
          <w:szCs w:val="16"/>
          <w:lang w:val="fr-FR"/>
        </w:rPr>
      </w:pPr>
      <w:r w:rsidRPr="008B39D8">
        <w:rPr>
          <w:rFonts w:ascii="Arial" w:hAnsi="Arial" w:cs="Arial"/>
          <w:b/>
          <w:sz w:val="16"/>
          <w:szCs w:val="16"/>
          <w:lang w:val="fr-FR"/>
        </w:rPr>
        <w:t xml:space="preserve">À propos de congatec </w:t>
      </w:r>
    </w:p>
    <w:p w:rsidR="002516D2" w:rsidRPr="00783DF7" w:rsidRDefault="002516D2" w:rsidP="002516D2">
      <w:pPr>
        <w:pStyle w:val="xxstandard1"/>
        <w:ind w:right="283"/>
        <w:rPr>
          <w:rFonts w:ascii="Arial" w:hAnsi="Arial" w:cs="Arial"/>
          <w:sz w:val="16"/>
          <w:szCs w:val="16"/>
          <w:lang w:val="fr-FR"/>
        </w:rPr>
      </w:pPr>
      <w:proofErr w:type="gramStart"/>
      <w:r w:rsidRPr="008B39D8">
        <w:rPr>
          <w:rFonts w:ascii="Arial" w:hAnsi="Arial" w:cs="Arial"/>
          <w:sz w:val="16"/>
          <w:szCs w:val="16"/>
          <w:lang w:val="fr-FR"/>
        </w:rPr>
        <w:t>congatec</w:t>
      </w:r>
      <w:proofErr w:type="gramEnd"/>
      <w:r w:rsidRPr="008B39D8">
        <w:rPr>
          <w:rFonts w:ascii="Arial" w:hAnsi="Arial" w:cs="Arial"/>
          <w:sz w:val="16"/>
          <w:szCs w:val="16"/>
          <w:lang w:val="fr-FR"/>
        </w:rPr>
        <w:t xml:space="preserve"> est une entreprise technologique en pleine croissance qui se concentre sur les produits embarqués et </w:t>
      </w:r>
      <w:proofErr w:type="spellStart"/>
      <w:r w:rsidRPr="008B39D8">
        <w:rPr>
          <w:rFonts w:ascii="Arial" w:hAnsi="Arial" w:cs="Arial"/>
          <w:sz w:val="16"/>
          <w:szCs w:val="16"/>
          <w:lang w:val="fr-FR"/>
        </w:rPr>
        <w:t>edge</w:t>
      </w:r>
      <w:proofErr w:type="spellEnd"/>
      <w:r w:rsidRPr="008B39D8">
        <w:rPr>
          <w:rFonts w:ascii="Arial" w:hAnsi="Arial" w:cs="Arial"/>
          <w:sz w:val="16"/>
          <w:szCs w:val="16"/>
          <w:lang w:val="fr-FR"/>
        </w:rPr>
        <w:t xml:space="preserve"> </w:t>
      </w:r>
      <w:proofErr w:type="spellStart"/>
      <w:r w:rsidRPr="008B39D8">
        <w:rPr>
          <w:rFonts w:ascii="Arial" w:hAnsi="Arial" w:cs="Arial"/>
          <w:sz w:val="16"/>
          <w:szCs w:val="16"/>
          <w:lang w:val="fr-FR"/>
        </w:rPr>
        <w:t>computing</w:t>
      </w:r>
      <w:proofErr w:type="spellEnd"/>
      <w:r w:rsidRPr="008B39D8">
        <w:rPr>
          <w:rFonts w:ascii="Arial" w:hAnsi="Arial" w:cs="Arial"/>
          <w:sz w:val="16"/>
          <w:szCs w:val="16"/>
          <w:lang w:val="fr-FR"/>
        </w:rPr>
        <w:t xml:space="preserve">. Les modules informatiques à haute performance sont utilisés dans une large gamme d'applications et de dispositifs dans l'automatisation industrielle, la technologie médicale, les transports, les télécommunications et de nombreux autres secteurs verticaux. </w:t>
      </w:r>
      <w:r w:rsidRPr="00783DF7">
        <w:rPr>
          <w:rFonts w:ascii="Arial" w:hAnsi="Arial" w:cs="Arial"/>
          <w:sz w:val="16"/>
          <w:szCs w:val="16"/>
          <w:lang w:val="fr-FR"/>
        </w:rPr>
        <w:t xml:space="preserve">Soutenue par son actionnaire majoritaire, DBAG </w:t>
      </w:r>
      <w:proofErr w:type="spellStart"/>
      <w:r w:rsidRPr="00783DF7">
        <w:rPr>
          <w:rFonts w:ascii="Arial" w:hAnsi="Arial" w:cs="Arial"/>
          <w:sz w:val="16"/>
          <w:szCs w:val="16"/>
          <w:lang w:val="fr-FR"/>
        </w:rPr>
        <w:t>Fund</w:t>
      </w:r>
      <w:proofErr w:type="spellEnd"/>
      <w:r w:rsidRPr="00783DF7">
        <w:rPr>
          <w:rFonts w:ascii="Arial" w:hAnsi="Arial" w:cs="Arial"/>
          <w:sz w:val="16"/>
          <w:szCs w:val="16"/>
          <w:lang w:val="fr-FR"/>
        </w:rPr>
        <w:t xml:space="preserve"> VIII, un fonds allemand de taille moyenne axé sur les entreprises industrielles en croissance, congatec possède l'expérience du financement et des fusions et acquisitions nécessaires pour tirer parti de ces possibilités de marché en expansion. </w:t>
      </w:r>
      <w:proofErr w:type="gramStart"/>
      <w:r w:rsidRPr="00783DF7">
        <w:rPr>
          <w:rFonts w:ascii="Arial" w:hAnsi="Arial" w:cs="Arial"/>
          <w:sz w:val="16"/>
          <w:szCs w:val="16"/>
          <w:lang w:val="fr-FR"/>
        </w:rPr>
        <w:t>congatec</w:t>
      </w:r>
      <w:proofErr w:type="gramEnd"/>
      <w:r w:rsidRPr="00783DF7">
        <w:rPr>
          <w:rFonts w:ascii="Arial" w:hAnsi="Arial" w:cs="Arial"/>
          <w:sz w:val="16"/>
          <w:szCs w:val="16"/>
          <w:lang w:val="fr-FR"/>
        </w:rPr>
        <w:t xml:space="preserve"> est le leader mondial du marché dans le segment des computer-on-modules et possède une excellente base de clients, des start-ups aux sociétés internationales de premier ordre. Créée en 2004 et basée à Deggendorf, (Allemagne), la société a atteint un chiffre d'affaires de 126 millions de dollars US en 2019. De plus amples informations sont disponibles sur notre site </w:t>
      </w:r>
      <w:proofErr w:type="spellStart"/>
      <w:r w:rsidR="008A40EA" w:rsidRPr="00783DF7">
        <w:rPr>
          <w:rFonts w:ascii="Arial" w:hAnsi="Arial" w:cs="Arial"/>
          <w:sz w:val="16"/>
          <w:szCs w:val="16"/>
          <w:lang w:val="fr-FR"/>
        </w:rPr>
        <w:t>Site</w:t>
      </w:r>
      <w:proofErr w:type="spellEnd"/>
      <w:r w:rsidR="008A40EA" w:rsidRPr="00783DF7">
        <w:rPr>
          <w:rFonts w:ascii="Arial" w:hAnsi="Arial" w:cs="Arial"/>
          <w:sz w:val="16"/>
          <w:szCs w:val="16"/>
          <w:lang w:val="fr-FR"/>
        </w:rPr>
        <w:t xml:space="preserve"> web : </w:t>
      </w:r>
      <w:hyperlink r:id="rId14" w:history="1">
        <w:r w:rsidR="008A40EA" w:rsidRPr="00783DF7">
          <w:rPr>
            <w:rStyle w:val="Hyperlink"/>
            <w:rFonts w:ascii="Arial" w:eastAsiaTheme="majorEastAsia" w:hAnsi="Arial" w:cs="Arial"/>
            <w:sz w:val="16"/>
            <w:szCs w:val="16"/>
            <w:lang w:val="fr-FR"/>
          </w:rPr>
          <w:t>www.congatec.com</w:t>
        </w:r>
      </w:hyperlink>
      <w:r w:rsidR="008A40EA" w:rsidRPr="00783DF7">
        <w:rPr>
          <w:rFonts w:ascii="Arial" w:eastAsiaTheme="majorEastAsia" w:hAnsi="Arial" w:cs="Arial"/>
          <w:sz w:val="16"/>
          <w:szCs w:val="16"/>
          <w:u w:val="single"/>
          <w:lang w:val="fr-FR"/>
        </w:rPr>
        <w:t xml:space="preserve"> </w:t>
      </w:r>
      <w:r w:rsidR="008A40EA" w:rsidRPr="00783DF7">
        <w:rPr>
          <w:rFonts w:ascii="Arial" w:hAnsi="Arial" w:cs="Arial"/>
          <w:sz w:val="16"/>
          <w:szCs w:val="16"/>
          <w:lang w:val="fr-FR"/>
        </w:rPr>
        <w:t xml:space="preserve">ou </w:t>
      </w:r>
      <w:r w:rsidR="008A40EA" w:rsidRPr="00783DF7">
        <w:rPr>
          <w:rFonts w:ascii="Arial" w:eastAsia="MS Mincho" w:hAnsi="Arial" w:cs="Arial"/>
          <w:sz w:val="16"/>
          <w:szCs w:val="16"/>
          <w:lang w:val="fr-FR" w:eastAsia="ja-JP"/>
        </w:rPr>
        <w:t>via</w:t>
      </w:r>
      <w:r w:rsidR="008A40EA" w:rsidRPr="00783DF7">
        <w:rPr>
          <w:rFonts w:ascii="Arial" w:eastAsia="MS Mincho" w:hAnsi="Arial" w:cs="Arial"/>
          <w:sz w:val="16"/>
          <w:szCs w:val="16"/>
          <w:lang w:val="fr-FR"/>
        </w:rPr>
        <w:t xml:space="preserve"> </w:t>
      </w:r>
      <w:hyperlink r:id="rId15" w:history="1">
        <w:r w:rsidR="008A40EA" w:rsidRPr="00783DF7">
          <w:rPr>
            <w:rStyle w:val="Hyperlink"/>
            <w:rFonts w:ascii="Arial" w:hAnsi="Arial" w:cs="Arial"/>
            <w:sz w:val="16"/>
            <w:szCs w:val="16"/>
            <w:lang w:val="fr-FR"/>
          </w:rPr>
          <w:t>LinkedIn</w:t>
        </w:r>
      </w:hyperlink>
      <w:r w:rsidR="008A40EA" w:rsidRPr="00783DF7">
        <w:rPr>
          <w:rFonts w:ascii="Arial" w:eastAsia="MS Mincho" w:hAnsi="Arial" w:cs="Arial"/>
          <w:sz w:val="16"/>
          <w:szCs w:val="16"/>
          <w:lang w:val="fr-FR"/>
        </w:rPr>
        <w:t xml:space="preserve">, </w:t>
      </w:r>
      <w:hyperlink r:id="rId16" w:history="1">
        <w:r w:rsidR="008A40EA" w:rsidRPr="00783DF7">
          <w:rPr>
            <w:rStyle w:val="Hyperlink"/>
            <w:rFonts w:ascii="Arial" w:eastAsia="MS Mincho" w:hAnsi="Arial" w:cs="Arial"/>
            <w:sz w:val="16"/>
            <w:szCs w:val="16"/>
            <w:lang w:val="fr-FR"/>
          </w:rPr>
          <w:t>Twitter</w:t>
        </w:r>
      </w:hyperlink>
      <w:r w:rsidR="008A40EA" w:rsidRPr="00783DF7">
        <w:rPr>
          <w:rFonts w:ascii="Arial" w:eastAsia="MS Mincho" w:hAnsi="Arial" w:cs="Arial"/>
          <w:sz w:val="16"/>
          <w:szCs w:val="16"/>
          <w:lang w:val="fr-FR"/>
        </w:rPr>
        <w:t xml:space="preserve"> </w:t>
      </w:r>
      <w:r w:rsidR="008A40EA" w:rsidRPr="00783DF7">
        <w:rPr>
          <w:rFonts w:ascii="Arial" w:hAnsi="Arial" w:cs="Arial"/>
          <w:sz w:val="16"/>
          <w:szCs w:val="16"/>
          <w:lang w:val="fr-FR"/>
        </w:rPr>
        <w:t xml:space="preserve">et </w:t>
      </w:r>
      <w:hyperlink r:id="rId17" w:history="1">
        <w:proofErr w:type="spellStart"/>
        <w:r w:rsidR="008A40EA" w:rsidRPr="00783DF7">
          <w:rPr>
            <w:rStyle w:val="Hyperlink"/>
            <w:rFonts w:ascii="Arial" w:eastAsiaTheme="majorEastAsia" w:hAnsi="Arial" w:cs="Arial"/>
            <w:sz w:val="16"/>
            <w:szCs w:val="16"/>
            <w:lang w:val="fr-FR"/>
          </w:rPr>
          <w:t>YouTube</w:t>
        </w:r>
        <w:proofErr w:type="spellEnd"/>
      </w:hyperlink>
    </w:p>
    <w:p w:rsidR="002516D2" w:rsidRPr="00783DF7" w:rsidRDefault="002516D2" w:rsidP="008A40EA">
      <w:pPr>
        <w:pStyle w:val="Standard1"/>
        <w:spacing w:before="120"/>
        <w:jc w:val="center"/>
        <w:rPr>
          <w:rFonts w:ascii="Arial" w:hAnsi="Arial" w:cs="Arial"/>
          <w:bCs/>
          <w:sz w:val="16"/>
          <w:szCs w:val="16"/>
          <w:lang w:eastAsia="ar-SA" w:bidi="ar-SA"/>
        </w:rPr>
      </w:pPr>
    </w:p>
    <w:p w:rsidR="00931403" w:rsidRPr="008B39D8" w:rsidRDefault="00931403" w:rsidP="00953DE9">
      <w:pPr>
        <w:pStyle w:val="Standard1"/>
        <w:spacing w:before="120"/>
        <w:rPr>
          <w:rFonts w:ascii="Arial" w:hAnsi="Arial" w:cs="Arial"/>
          <w:bCs/>
          <w:sz w:val="16"/>
          <w:szCs w:val="16"/>
          <w:lang w:eastAsia="ar-SA" w:bidi="ar-SA"/>
        </w:rPr>
      </w:pPr>
    </w:p>
    <w:p w:rsidR="007A1350" w:rsidRPr="008B39D8" w:rsidRDefault="007A1350" w:rsidP="007A1350">
      <w:pPr>
        <w:pStyle w:val="Standard1"/>
        <w:spacing w:line="200" w:lineRule="atLeast"/>
        <w:jc w:val="center"/>
        <w:rPr>
          <w:rFonts w:ascii="Arial" w:hAnsi="Arial" w:cs="Arial"/>
          <w:sz w:val="22"/>
        </w:rPr>
      </w:pPr>
    </w:p>
    <w:p w:rsidR="003E417C" w:rsidRPr="008B39D8" w:rsidRDefault="003E417C" w:rsidP="007A1350">
      <w:pPr>
        <w:pStyle w:val="Standard1"/>
        <w:spacing w:line="200" w:lineRule="atLeast"/>
        <w:jc w:val="center"/>
        <w:rPr>
          <w:rFonts w:ascii="Arial" w:hAnsi="Arial" w:cs="Arial"/>
          <w:i/>
          <w:iCs/>
          <w:sz w:val="22"/>
          <w:szCs w:val="22"/>
        </w:rPr>
      </w:pPr>
      <w:r w:rsidRPr="008B39D8">
        <w:rPr>
          <w:rFonts w:ascii="Arial" w:hAnsi="Arial" w:cs="Arial"/>
          <w:sz w:val="22"/>
        </w:rPr>
        <w:t>* * *</w:t>
      </w:r>
      <w:r w:rsidRPr="008B39D8">
        <w:rPr>
          <w:rFonts w:ascii="Arial" w:hAnsi="Arial" w:cs="Arial"/>
          <w:i/>
          <w:sz w:val="22"/>
        </w:rPr>
        <w:t xml:space="preserve"> </w:t>
      </w:r>
    </w:p>
    <w:p w:rsidR="003E417C" w:rsidRPr="008B39D8" w:rsidRDefault="003E417C" w:rsidP="003E417C">
      <w:pPr>
        <w:pStyle w:val="Standard1"/>
        <w:spacing w:line="200" w:lineRule="atLeast"/>
        <w:jc w:val="center"/>
        <w:rPr>
          <w:rFonts w:ascii="Arial" w:hAnsi="Arial" w:cs="Arial"/>
          <w:i/>
          <w:iCs/>
          <w:sz w:val="18"/>
          <w:szCs w:val="18"/>
        </w:rPr>
      </w:pPr>
    </w:p>
    <w:p w:rsidR="00C72A61" w:rsidRPr="008B39D8" w:rsidRDefault="00C72A61" w:rsidP="00C72A61">
      <w:pPr>
        <w:pStyle w:val="Standard1"/>
        <w:spacing w:line="200" w:lineRule="atLeast"/>
        <w:jc w:val="center"/>
        <w:rPr>
          <w:rFonts w:ascii="Arial" w:hAnsi="Arial" w:cs="Arial"/>
          <w:i/>
          <w:iCs/>
          <w:sz w:val="18"/>
          <w:szCs w:val="18"/>
        </w:rPr>
      </w:pPr>
      <w:r w:rsidRPr="008B39D8">
        <w:rPr>
          <w:rFonts w:ascii="Arial" w:hAnsi="Arial" w:cs="Arial"/>
          <w:i/>
          <w:sz w:val="18"/>
        </w:rPr>
        <w:t xml:space="preserve">Intel et </w:t>
      </w:r>
      <w:proofErr w:type="spellStart"/>
      <w:r w:rsidR="00A2220E">
        <w:rPr>
          <w:rFonts w:ascii="Arial" w:hAnsi="Arial" w:cs="Arial"/>
          <w:i/>
          <w:sz w:val="18"/>
        </w:rPr>
        <w:t>Core</w:t>
      </w:r>
      <w:proofErr w:type="spellEnd"/>
      <w:r w:rsidR="00A2220E">
        <w:rPr>
          <w:rFonts w:ascii="Arial" w:hAnsi="Arial" w:cs="Arial"/>
          <w:i/>
          <w:sz w:val="18"/>
        </w:rPr>
        <w:t xml:space="preserve">, </w:t>
      </w:r>
      <w:proofErr w:type="spellStart"/>
      <w:r w:rsidR="00A2220E">
        <w:rPr>
          <w:rFonts w:ascii="Arial" w:hAnsi="Arial" w:cs="Arial"/>
          <w:i/>
          <w:sz w:val="18"/>
        </w:rPr>
        <w:t>Celeron</w:t>
      </w:r>
      <w:proofErr w:type="spellEnd"/>
      <w:r w:rsidR="00A2220E">
        <w:rPr>
          <w:rFonts w:ascii="Arial" w:hAnsi="Arial" w:cs="Arial"/>
          <w:i/>
          <w:sz w:val="18"/>
        </w:rPr>
        <w:t xml:space="preserve"> </w:t>
      </w:r>
      <w:r w:rsidRPr="008B39D8">
        <w:rPr>
          <w:rFonts w:ascii="Arial" w:hAnsi="Arial" w:cs="Arial"/>
          <w:i/>
          <w:sz w:val="18"/>
        </w:rPr>
        <w:t>sont des marques enregistrées d’Intel Corporation aux Etats-Unis et dans d’autres pays.</w:t>
      </w:r>
    </w:p>
    <w:p w:rsidR="003E417C" w:rsidRPr="008B39D8" w:rsidRDefault="003E417C" w:rsidP="003E417C">
      <w:pPr>
        <w:pStyle w:val="Standard1"/>
        <w:spacing w:after="57" w:line="200" w:lineRule="atLeast"/>
        <w:jc w:val="center"/>
        <w:rPr>
          <w:rFonts w:ascii="Arial" w:hAnsi="Arial" w:cs="Arial"/>
          <w:i/>
          <w:iCs/>
          <w:sz w:val="18"/>
          <w:szCs w:val="18"/>
        </w:rPr>
      </w:pPr>
    </w:p>
    <w:sectPr w:rsidR="003E417C" w:rsidRPr="008B39D8"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 Beugin">
    <w15:presenceInfo w15:providerId="AD" w15:userId="S::Luc.Beugin@congatec.com::ef29d5b4-5c68-4cce-9652-f51d8f5deeb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05FFF"/>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448"/>
    <w:rsid w:val="000D5930"/>
    <w:rsid w:val="000E519E"/>
    <w:rsid w:val="000F3F26"/>
    <w:rsid w:val="000F54CE"/>
    <w:rsid w:val="00106386"/>
    <w:rsid w:val="00110FAD"/>
    <w:rsid w:val="001137E5"/>
    <w:rsid w:val="0012566D"/>
    <w:rsid w:val="0013281A"/>
    <w:rsid w:val="00137786"/>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516D2"/>
    <w:rsid w:val="00264501"/>
    <w:rsid w:val="00287416"/>
    <w:rsid w:val="00287EDF"/>
    <w:rsid w:val="002907A0"/>
    <w:rsid w:val="002974DA"/>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1E35"/>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2E3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86774"/>
    <w:rsid w:val="004A0CDB"/>
    <w:rsid w:val="004A346D"/>
    <w:rsid w:val="004A5548"/>
    <w:rsid w:val="004A6334"/>
    <w:rsid w:val="004A70B9"/>
    <w:rsid w:val="004B6569"/>
    <w:rsid w:val="004C6334"/>
    <w:rsid w:val="004D31A5"/>
    <w:rsid w:val="004D58FC"/>
    <w:rsid w:val="004E0428"/>
    <w:rsid w:val="004E3618"/>
    <w:rsid w:val="004F0B88"/>
    <w:rsid w:val="004F5C1B"/>
    <w:rsid w:val="00510EBF"/>
    <w:rsid w:val="0051162D"/>
    <w:rsid w:val="00512A7E"/>
    <w:rsid w:val="005147B6"/>
    <w:rsid w:val="0051637A"/>
    <w:rsid w:val="00522BE7"/>
    <w:rsid w:val="005345E6"/>
    <w:rsid w:val="005451DE"/>
    <w:rsid w:val="005511F3"/>
    <w:rsid w:val="005525BE"/>
    <w:rsid w:val="005531F1"/>
    <w:rsid w:val="00554E11"/>
    <w:rsid w:val="00562798"/>
    <w:rsid w:val="00563030"/>
    <w:rsid w:val="00564717"/>
    <w:rsid w:val="005657F3"/>
    <w:rsid w:val="00570403"/>
    <w:rsid w:val="0057426E"/>
    <w:rsid w:val="00577B2F"/>
    <w:rsid w:val="0058691F"/>
    <w:rsid w:val="00590CEA"/>
    <w:rsid w:val="005919A2"/>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83DF7"/>
    <w:rsid w:val="007901EA"/>
    <w:rsid w:val="00796431"/>
    <w:rsid w:val="00796DD7"/>
    <w:rsid w:val="00797D2D"/>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0057"/>
    <w:rsid w:val="00833148"/>
    <w:rsid w:val="008340E4"/>
    <w:rsid w:val="00843651"/>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40EA"/>
    <w:rsid w:val="008A6614"/>
    <w:rsid w:val="008B0718"/>
    <w:rsid w:val="008B2551"/>
    <w:rsid w:val="008B2E08"/>
    <w:rsid w:val="008B303E"/>
    <w:rsid w:val="008B39D8"/>
    <w:rsid w:val="008C0281"/>
    <w:rsid w:val="008D76BE"/>
    <w:rsid w:val="008F3D96"/>
    <w:rsid w:val="009046DE"/>
    <w:rsid w:val="00914561"/>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2220E"/>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2A94"/>
    <w:rsid w:val="00B56888"/>
    <w:rsid w:val="00B633B8"/>
    <w:rsid w:val="00B66763"/>
    <w:rsid w:val="00B70A31"/>
    <w:rsid w:val="00B714C2"/>
    <w:rsid w:val="00BB1438"/>
    <w:rsid w:val="00BC155A"/>
    <w:rsid w:val="00BC4704"/>
    <w:rsid w:val="00BC5ACE"/>
    <w:rsid w:val="00BC7B55"/>
    <w:rsid w:val="00BD2788"/>
    <w:rsid w:val="00BD2C7D"/>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43C3"/>
    <w:rsid w:val="00C56511"/>
    <w:rsid w:val="00C62361"/>
    <w:rsid w:val="00C64C60"/>
    <w:rsid w:val="00C673D0"/>
    <w:rsid w:val="00C724E0"/>
    <w:rsid w:val="00C72A61"/>
    <w:rsid w:val="00C7407E"/>
    <w:rsid w:val="00C759D6"/>
    <w:rsid w:val="00C75F68"/>
    <w:rsid w:val="00C82A87"/>
    <w:rsid w:val="00C857A9"/>
    <w:rsid w:val="00C87478"/>
    <w:rsid w:val="00C93A34"/>
    <w:rsid w:val="00C94502"/>
    <w:rsid w:val="00CA293C"/>
    <w:rsid w:val="00CA5D46"/>
    <w:rsid w:val="00CB608C"/>
    <w:rsid w:val="00CB6E12"/>
    <w:rsid w:val="00CC4274"/>
    <w:rsid w:val="00CC5DAC"/>
    <w:rsid w:val="00CC760F"/>
    <w:rsid w:val="00CD0EAB"/>
    <w:rsid w:val="00CD3883"/>
    <w:rsid w:val="00CD6C3B"/>
    <w:rsid w:val="00CD6C8A"/>
    <w:rsid w:val="00CE6F15"/>
    <w:rsid w:val="00D001AF"/>
    <w:rsid w:val="00D06819"/>
    <w:rsid w:val="00D14D32"/>
    <w:rsid w:val="00D17950"/>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1F8"/>
    <w:rsid w:val="00DC6E88"/>
    <w:rsid w:val="00DD28E1"/>
    <w:rsid w:val="00DD5315"/>
    <w:rsid w:val="00DE7508"/>
    <w:rsid w:val="00DF45C3"/>
    <w:rsid w:val="00DF4DC0"/>
    <w:rsid w:val="00DF645D"/>
    <w:rsid w:val="00DF7450"/>
    <w:rsid w:val="00DF79C0"/>
    <w:rsid w:val="00E10FA4"/>
    <w:rsid w:val="00E129BE"/>
    <w:rsid w:val="00E16E7F"/>
    <w:rsid w:val="00E228B5"/>
    <w:rsid w:val="00E25D11"/>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0795"/>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43C3"/>
    <w:pPr>
      <w:suppressAutoHyphens/>
    </w:pPr>
    <w:rPr>
      <w:sz w:val="24"/>
      <w:szCs w:val="24"/>
    </w:rPr>
  </w:style>
  <w:style w:type="paragraph" w:styleId="berschrift1">
    <w:name w:val="heading 1"/>
    <w:basedOn w:val="Standard"/>
    <w:next w:val="berschrift2"/>
    <w:qFormat/>
    <w:rsid w:val="00C543C3"/>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C543C3"/>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C543C3"/>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C543C3"/>
  </w:style>
  <w:style w:type="character" w:customStyle="1" w:styleId="Absatzstandardschriftart">
    <w:name w:val="Absatzstandardschriftart"/>
    <w:rsid w:val="00C543C3"/>
  </w:style>
  <w:style w:type="character" w:customStyle="1" w:styleId="WW-Absatz-Standardschriftart">
    <w:name w:val="WW-Absatz-Standardschriftart"/>
    <w:rsid w:val="00C543C3"/>
  </w:style>
  <w:style w:type="character" w:customStyle="1" w:styleId="WW-Absatz-Standardschriftart1">
    <w:name w:val="WW-Absatz-Standardschriftart1"/>
    <w:rsid w:val="00C543C3"/>
  </w:style>
  <w:style w:type="character" w:customStyle="1" w:styleId="WW-Absatz-Standardschriftart11">
    <w:name w:val="WW-Absatz-Standardschriftart11"/>
    <w:rsid w:val="00C543C3"/>
  </w:style>
  <w:style w:type="character" w:customStyle="1" w:styleId="WW-Absatz-Standardschriftart111">
    <w:name w:val="WW-Absatz-Standardschriftart111"/>
    <w:rsid w:val="00C543C3"/>
  </w:style>
  <w:style w:type="character" w:customStyle="1" w:styleId="WW-Absatz-Standardschriftart1111">
    <w:name w:val="WW-Absatz-Standardschriftart1111"/>
    <w:rsid w:val="00C543C3"/>
  </w:style>
  <w:style w:type="character" w:customStyle="1" w:styleId="Standardstycketeckensnitt1">
    <w:name w:val="Standardstycketeckensnitt1"/>
    <w:rsid w:val="00C543C3"/>
  </w:style>
  <w:style w:type="character" w:customStyle="1" w:styleId="Absatz-Standardschriftart1">
    <w:name w:val="Absatz-Standardschriftart1"/>
    <w:rsid w:val="00C543C3"/>
  </w:style>
  <w:style w:type="character" w:customStyle="1" w:styleId="WW-Absatz-Standardschriftart11111">
    <w:name w:val="WW-Absatz-Standardschriftart11111"/>
    <w:rsid w:val="00C543C3"/>
  </w:style>
  <w:style w:type="character" w:customStyle="1" w:styleId="WW-Absatz-Standardschriftart111111">
    <w:name w:val="WW-Absatz-Standardschriftart111111"/>
    <w:rsid w:val="00C543C3"/>
  </w:style>
  <w:style w:type="character" w:customStyle="1" w:styleId="WW-Absatz-Standardschriftart1111111">
    <w:name w:val="WW-Absatz-Standardschriftart1111111"/>
    <w:rsid w:val="00C543C3"/>
  </w:style>
  <w:style w:type="character" w:customStyle="1" w:styleId="WW-Absatz-Standardschriftart11111111">
    <w:name w:val="WW-Absatz-Standardschriftart11111111"/>
    <w:rsid w:val="00C543C3"/>
  </w:style>
  <w:style w:type="character" w:customStyle="1" w:styleId="WW-Absatz-Standardschriftart111111111">
    <w:name w:val="WW-Absatz-Standardschriftart111111111"/>
    <w:rsid w:val="00C543C3"/>
  </w:style>
  <w:style w:type="character" w:customStyle="1" w:styleId="DefaultParagraphFont1">
    <w:name w:val="Default Paragraph Font1"/>
    <w:rsid w:val="00C543C3"/>
  </w:style>
  <w:style w:type="character" w:customStyle="1" w:styleId="WW-Absatz-Standardschriftart1111111111">
    <w:name w:val="WW-Absatz-Standardschriftart1111111111"/>
    <w:rsid w:val="00C543C3"/>
  </w:style>
  <w:style w:type="character" w:customStyle="1" w:styleId="WW-Absatz-Standardschriftart11111111111">
    <w:name w:val="WW-Absatz-Standardschriftart11111111111"/>
    <w:rsid w:val="00C543C3"/>
  </w:style>
  <w:style w:type="character" w:customStyle="1" w:styleId="WW-Absatz-Standardschriftart111111111111">
    <w:name w:val="WW-Absatz-Standardschriftart111111111111"/>
    <w:rsid w:val="00C543C3"/>
  </w:style>
  <w:style w:type="character" w:customStyle="1" w:styleId="WW-Absatz-Standardschriftart1111111111111">
    <w:name w:val="WW-Absatz-Standardschriftart1111111111111"/>
    <w:rsid w:val="00C543C3"/>
  </w:style>
  <w:style w:type="character" w:customStyle="1" w:styleId="WW-Absatz-Standardschriftart11111111111111">
    <w:name w:val="WW-Absatz-Standardschriftart11111111111111"/>
    <w:rsid w:val="00C543C3"/>
  </w:style>
  <w:style w:type="character" w:customStyle="1" w:styleId="WW-Absatz-Standardschriftart111111111111111">
    <w:name w:val="WW-Absatz-Standardschriftart111111111111111"/>
    <w:rsid w:val="00C543C3"/>
  </w:style>
  <w:style w:type="character" w:customStyle="1" w:styleId="WW-Absatz-Standardschriftart1111111111111111">
    <w:name w:val="WW-Absatz-Standardschriftart1111111111111111"/>
    <w:rsid w:val="00C543C3"/>
  </w:style>
  <w:style w:type="character" w:styleId="Hyperlink">
    <w:name w:val="Hyperlink"/>
    <w:rsid w:val="00C543C3"/>
    <w:rPr>
      <w:color w:val="0000FF"/>
      <w:u w:val="single"/>
    </w:rPr>
  </w:style>
  <w:style w:type="character" w:customStyle="1" w:styleId="Kommentarzeichen1">
    <w:name w:val="Kommentarzeichen1"/>
    <w:rsid w:val="00C543C3"/>
    <w:rPr>
      <w:sz w:val="16"/>
      <w:szCs w:val="16"/>
    </w:rPr>
  </w:style>
  <w:style w:type="character" w:customStyle="1" w:styleId="Char1">
    <w:name w:val="Char1"/>
    <w:rsid w:val="00C543C3"/>
    <w:rPr>
      <w:rFonts w:ascii="Arial" w:hAnsi="Arial"/>
      <w:sz w:val="24"/>
      <w:szCs w:val="24"/>
      <w:lang w:val="fr-FR" w:eastAsia="fr-FR" w:bidi="fr-FR"/>
    </w:rPr>
  </w:style>
  <w:style w:type="character" w:customStyle="1" w:styleId="WW8Num18z0">
    <w:name w:val="WW8Num18z0"/>
    <w:rsid w:val="00C543C3"/>
    <w:rPr>
      <w:rFonts w:ascii="Symbol" w:hAnsi="Symbol"/>
    </w:rPr>
  </w:style>
  <w:style w:type="character" w:customStyle="1" w:styleId="WW8Num18z1">
    <w:name w:val="WW8Num18z1"/>
    <w:rsid w:val="00C543C3"/>
    <w:rPr>
      <w:rFonts w:ascii="Courier New" w:hAnsi="Courier New" w:cs="Courier New"/>
    </w:rPr>
  </w:style>
  <w:style w:type="character" w:customStyle="1" w:styleId="WW8Num18z2">
    <w:name w:val="WW8Num18z2"/>
    <w:rsid w:val="00C543C3"/>
    <w:rPr>
      <w:rFonts w:ascii="Wingdings" w:hAnsi="Wingdings"/>
    </w:rPr>
  </w:style>
  <w:style w:type="character" w:customStyle="1" w:styleId="NichtproportionalerText">
    <w:name w:val="Nichtproportionaler Text"/>
    <w:rsid w:val="00C543C3"/>
    <w:rPr>
      <w:rFonts w:ascii="Courier New" w:eastAsia="Courier New" w:hAnsi="Courier New" w:cs="Courier New"/>
    </w:rPr>
  </w:style>
  <w:style w:type="paragraph" w:customStyle="1" w:styleId="berschrift">
    <w:name w:val="Überschrift"/>
    <w:basedOn w:val="Standard"/>
    <w:next w:val="Textkrper"/>
    <w:rsid w:val="00C543C3"/>
    <w:pPr>
      <w:keepNext/>
      <w:spacing w:before="240" w:after="120"/>
    </w:pPr>
    <w:rPr>
      <w:rFonts w:ascii="Arial" w:eastAsia="MS Mincho" w:hAnsi="Arial" w:cs="Tahoma"/>
      <w:sz w:val="28"/>
      <w:szCs w:val="28"/>
    </w:rPr>
  </w:style>
  <w:style w:type="paragraph" w:styleId="Textkrper">
    <w:name w:val="Body Text"/>
    <w:basedOn w:val="Standard"/>
    <w:rsid w:val="00C543C3"/>
    <w:pPr>
      <w:spacing w:after="120"/>
    </w:pPr>
  </w:style>
  <w:style w:type="paragraph" w:styleId="Liste">
    <w:name w:val="List"/>
    <w:basedOn w:val="Textkrper"/>
    <w:rsid w:val="00C543C3"/>
    <w:rPr>
      <w:rFonts w:ascii="Arial" w:hAnsi="Arial" w:cs="Tahoma"/>
    </w:rPr>
  </w:style>
  <w:style w:type="paragraph" w:customStyle="1" w:styleId="Beschriftung2">
    <w:name w:val="Beschriftung2"/>
    <w:basedOn w:val="Standard"/>
    <w:rsid w:val="00C543C3"/>
    <w:pPr>
      <w:suppressLineNumbers/>
      <w:spacing w:before="120" w:after="120"/>
    </w:pPr>
    <w:rPr>
      <w:rFonts w:cs="Mangal"/>
      <w:i/>
      <w:iCs/>
    </w:rPr>
  </w:style>
  <w:style w:type="paragraph" w:customStyle="1" w:styleId="Verzeichnis">
    <w:name w:val="Verzeichnis"/>
    <w:basedOn w:val="Standard"/>
    <w:rsid w:val="00C543C3"/>
    <w:pPr>
      <w:suppressLineNumbers/>
    </w:pPr>
    <w:rPr>
      <w:rFonts w:ascii="Arial" w:hAnsi="Arial" w:cs="Tahoma"/>
    </w:rPr>
  </w:style>
  <w:style w:type="paragraph" w:customStyle="1" w:styleId="Beschriftung1">
    <w:name w:val="Beschriftung1"/>
    <w:basedOn w:val="Standard"/>
    <w:rsid w:val="00C543C3"/>
    <w:pPr>
      <w:suppressLineNumbers/>
      <w:spacing w:before="120" w:after="120"/>
    </w:pPr>
    <w:rPr>
      <w:rFonts w:ascii="Arial" w:hAnsi="Arial" w:cs="Tahoma"/>
      <w:i/>
      <w:iCs/>
    </w:rPr>
  </w:style>
  <w:style w:type="paragraph" w:customStyle="1" w:styleId="Pressemitteilung">
    <w:name w:val="Pressemitteilung"/>
    <w:basedOn w:val="Standard"/>
    <w:rsid w:val="00C543C3"/>
    <w:pPr>
      <w:spacing w:before="360" w:after="240"/>
    </w:pPr>
    <w:rPr>
      <w:rFonts w:ascii="Arial" w:hAnsi="Arial"/>
      <w:b/>
      <w:szCs w:val="20"/>
      <w:u w:val="single"/>
    </w:rPr>
  </w:style>
  <w:style w:type="paragraph" w:customStyle="1" w:styleId="Kommentartext1">
    <w:name w:val="Kommentartext1"/>
    <w:basedOn w:val="Standard"/>
    <w:rsid w:val="00C543C3"/>
    <w:rPr>
      <w:rFonts w:ascii="Arial" w:hAnsi="Arial"/>
    </w:rPr>
  </w:style>
  <w:style w:type="paragraph" w:customStyle="1" w:styleId="Ballongtext1">
    <w:name w:val="Ballongtext1"/>
    <w:basedOn w:val="Standard"/>
    <w:rsid w:val="00C543C3"/>
    <w:rPr>
      <w:rFonts w:ascii="Tahoma" w:hAnsi="Tahoma" w:cs="Tahoma"/>
      <w:sz w:val="16"/>
      <w:szCs w:val="16"/>
    </w:rPr>
  </w:style>
  <w:style w:type="paragraph" w:customStyle="1" w:styleId="TabellenInhalt">
    <w:name w:val="Tabellen Inhalt"/>
    <w:basedOn w:val="Standard"/>
    <w:rsid w:val="00C543C3"/>
    <w:pPr>
      <w:suppressLineNumbers/>
    </w:pPr>
  </w:style>
  <w:style w:type="paragraph" w:customStyle="1" w:styleId="Tabellenberschrift">
    <w:name w:val="Tabellen Überschrift"/>
    <w:basedOn w:val="TabellenInhalt"/>
    <w:rsid w:val="00C543C3"/>
    <w:pPr>
      <w:jc w:val="center"/>
    </w:pPr>
    <w:rPr>
      <w:b/>
      <w:bCs/>
    </w:rPr>
  </w:style>
  <w:style w:type="paragraph" w:customStyle="1" w:styleId="Kommentartext2">
    <w:name w:val="Kommentartext2"/>
    <w:basedOn w:val="Standard"/>
    <w:rsid w:val="00C543C3"/>
  </w:style>
  <w:style w:type="paragraph" w:customStyle="1" w:styleId="VorformatierterText">
    <w:name w:val="Vorformatierter Text"/>
    <w:basedOn w:val="Standard"/>
    <w:rsid w:val="00C543C3"/>
    <w:rPr>
      <w:rFonts w:ascii="Courier New" w:eastAsia="Courier New" w:hAnsi="Courier New" w:cs="Courier New"/>
      <w:sz w:val="20"/>
      <w:szCs w:val="20"/>
    </w:rPr>
  </w:style>
  <w:style w:type="paragraph" w:customStyle="1" w:styleId="Text">
    <w:name w:val="Text"/>
    <w:basedOn w:val="Standard"/>
    <w:rsid w:val="00C543C3"/>
    <w:pPr>
      <w:spacing w:before="120" w:line="360" w:lineRule="auto"/>
    </w:pPr>
  </w:style>
  <w:style w:type="paragraph" w:customStyle="1" w:styleId="BalloonText1">
    <w:name w:val="Balloon Text1"/>
    <w:basedOn w:val="Standard"/>
    <w:rsid w:val="00C543C3"/>
    <w:rPr>
      <w:rFonts w:ascii="Tahoma" w:hAnsi="Tahoma" w:cs="Tahoma"/>
      <w:sz w:val="16"/>
      <w:szCs w:val="16"/>
    </w:rPr>
  </w:style>
  <w:style w:type="paragraph" w:customStyle="1" w:styleId="Standard1">
    <w:name w:val="Standard1"/>
    <w:rsid w:val="00C543C3"/>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customStyle="1" w:styleId="xxstandard1">
    <w:name w:val="x_xstandard1"/>
    <w:basedOn w:val="Standard"/>
    <w:rsid w:val="002516D2"/>
    <w:pPr>
      <w:suppressAutoHyphens w:val="0"/>
    </w:pPr>
    <w:rPr>
      <w:rFonts w:eastAsiaTheme="minorHAnsi"/>
      <w:lang w:val="de-DE" w:eastAsia="de-DE" w:bidi="ar-SA"/>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s://www.congatec.com/com-hp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s://www.congatec.com/fr/produits/com-hpc/conga-hpcctlu/" TargetMode="External"/><Relationship Id="rId17" Type="http://schemas.openxmlformats.org/officeDocument/2006/relationships/hyperlink" Target="http://www.youtube.com/congatecAE" TargetMode="External"/><Relationship Id="rId2" Type="http://schemas.openxmlformats.org/officeDocument/2006/relationships/styles" Target="styles.xml"/><Relationship Id="rId16" Type="http://schemas.openxmlformats.org/officeDocument/2006/relationships/hyperlink" Target="https://mobile.twitter.com/congatecAG"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s://www.linkedin.com/company/455449"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5987</Characters>
  <Application>Microsoft Office Word</Application>
  <DocSecurity>0</DocSecurity>
  <Lines>49</Lines>
  <Paragraphs>13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Announcing congatec’s first COM Express mini module with single-chip, quad-core Intel® Atom™ processor E3800 family</vt: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6924</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5</cp:revision>
  <cp:lastPrinted>2014-01-29T21:42:00Z</cp:lastPrinted>
  <dcterms:created xsi:type="dcterms:W3CDTF">2020-11-16T14:05:00Z</dcterms:created>
  <dcterms:modified xsi:type="dcterms:W3CDTF">2020-11-16T14:06:00Z</dcterms:modified>
</cp:coreProperties>
</file>