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B414AF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B414AF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E40B37" w:rsidRPr="00B414AF" w:rsidTr="00BD06A3">
        <w:trPr>
          <w:trHeight w:val="270"/>
        </w:trPr>
        <w:tc>
          <w:tcPr>
            <w:tcW w:w="2552" w:type="dxa"/>
            <w:shd w:val="clear" w:color="auto" w:fill="auto"/>
          </w:tcPr>
          <w:p w:rsidR="00E40B37" w:rsidRPr="00B414AF" w:rsidRDefault="00D97692" w:rsidP="00F06CA0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proofErr w:type="spellStart"/>
            <w:r w:rsidRPr="00B414AF">
              <w:rPr>
                <w:rFonts w:ascii="Arial" w:hAnsi="Arial" w:cs="Arial"/>
                <w:b/>
                <w:sz w:val="18"/>
                <w:u w:val="single"/>
              </w:rPr>
              <w:t>Domande</w:t>
            </w:r>
            <w:proofErr w:type="spellEnd"/>
            <w:r w:rsidR="00931997" w:rsidRPr="00B414AF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 w:rsidRPr="00B414AF">
              <w:rPr>
                <w:rFonts w:ascii="Arial" w:hAnsi="Arial" w:cs="Arial"/>
                <w:b/>
                <w:sz w:val="18"/>
                <w:u w:val="single"/>
              </w:rPr>
              <w:t>dei</w:t>
            </w:r>
            <w:proofErr w:type="spellEnd"/>
            <w:r w:rsidR="00931997" w:rsidRPr="00B414AF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 w:rsidRPr="00B414AF">
              <w:rPr>
                <w:rFonts w:ascii="Arial" w:hAnsi="Arial" w:cs="Arial"/>
                <w:b/>
                <w:sz w:val="18"/>
                <w:u w:val="single"/>
              </w:rPr>
              <w:t>lettori</w:t>
            </w:r>
            <w:proofErr w:type="spellEnd"/>
            <w:r w:rsidRPr="00B414A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E40B37" w:rsidRPr="00B414AF" w:rsidRDefault="00F06CA0" w:rsidP="00BD06A3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proofErr w:type="spellStart"/>
            <w:r w:rsidRPr="00B414AF">
              <w:rPr>
                <w:rFonts w:ascii="Arial" w:hAnsi="Arial" w:cs="Arial"/>
                <w:b/>
                <w:sz w:val="18"/>
                <w:u w:val="single"/>
              </w:rPr>
              <w:t>Contatto</w:t>
            </w:r>
            <w:proofErr w:type="spellEnd"/>
            <w:r w:rsidR="00931997" w:rsidRPr="00B414AF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 w:rsidRPr="00B414AF">
              <w:rPr>
                <w:rFonts w:ascii="Arial" w:hAnsi="Arial" w:cs="Arial"/>
                <w:b/>
                <w:sz w:val="18"/>
                <w:u w:val="single"/>
              </w:rPr>
              <w:t>Stampa</w:t>
            </w:r>
            <w:proofErr w:type="spellEnd"/>
            <w:r w:rsidRPr="00B414AF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E40B37" w:rsidRPr="00B414AF" w:rsidTr="00BD06A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B414AF" w:rsidRDefault="00E40B37" w:rsidP="00BD06A3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B414AF">
              <w:rPr>
                <w:rFonts w:ascii="Arial" w:hAnsi="Arial" w:cs="Arial"/>
                <w:b/>
                <w:sz w:val="18"/>
                <w:szCs w:val="18"/>
              </w:rPr>
              <w:t>congatec</w:t>
            </w:r>
            <w:r w:rsidR="00931997" w:rsidRPr="00B414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414AF">
              <w:rPr>
                <w:rFonts w:ascii="Arial" w:hAnsi="Arial" w:cs="Arial"/>
                <w:b/>
                <w:sz w:val="18"/>
                <w:szCs w:val="18"/>
              </w:rPr>
              <w:t>AG</w:t>
            </w:r>
          </w:p>
        </w:tc>
        <w:tc>
          <w:tcPr>
            <w:tcW w:w="2551" w:type="dxa"/>
            <w:shd w:val="clear" w:color="auto" w:fill="auto"/>
          </w:tcPr>
          <w:p w:rsidR="00E40B37" w:rsidRPr="00B414AF" w:rsidRDefault="00E40B37" w:rsidP="00BD06A3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B414AF">
              <w:rPr>
                <w:rFonts w:ascii="Arial" w:hAnsi="Arial" w:cs="Arial"/>
                <w:b/>
                <w:sz w:val="18"/>
                <w:szCs w:val="18"/>
              </w:rPr>
              <w:t>SAMS</w:t>
            </w:r>
            <w:r w:rsidR="00931997" w:rsidRPr="00B414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414AF">
              <w:rPr>
                <w:rFonts w:ascii="Arial" w:hAnsi="Arial" w:cs="Arial"/>
                <w:b/>
                <w:sz w:val="18"/>
                <w:szCs w:val="18"/>
              </w:rPr>
              <w:t>Network</w:t>
            </w:r>
            <w:r w:rsidR="00931997" w:rsidRPr="00B414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40B37" w:rsidRPr="00B414AF" w:rsidTr="00BD06A3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40B37" w:rsidRPr="00B414AF" w:rsidRDefault="00655B81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B414AF">
              <w:rPr>
                <w:rFonts w:ascii="Arial" w:hAnsi="Arial" w:cs="Arial"/>
                <w:sz w:val="18"/>
                <w:szCs w:val="18"/>
              </w:rPr>
              <w:t>Christian</w:t>
            </w:r>
            <w:r w:rsidR="00931997" w:rsidRPr="00B414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14AF">
              <w:rPr>
                <w:rFonts w:ascii="Arial" w:hAnsi="Arial" w:cs="Arial"/>
                <w:sz w:val="18"/>
                <w:szCs w:val="18"/>
              </w:rPr>
              <w:t>Eder</w:t>
            </w:r>
          </w:p>
        </w:tc>
        <w:tc>
          <w:tcPr>
            <w:tcW w:w="2551" w:type="dxa"/>
            <w:shd w:val="clear" w:color="auto" w:fill="auto"/>
          </w:tcPr>
          <w:p w:rsidR="00E40B37" w:rsidRPr="00B414AF" w:rsidRDefault="00E40B37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B414AF">
              <w:rPr>
                <w:rFonts w:ascii="Arial" w:hAnsi="Arial" w:cs="Arial"/>
                <w:sz w:val="18"/>
                <w:szCs w:val="18"/>
              </w:rPr>
              <w:t>Michael</w:t>
            </w:r>
            <w:r w:rsidR="00931997" w:rsidRPr="00B414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14AF">
              <w:rPr>
                <w:rFonts w:ascii="Arial" w:hAnsi="Arial" w:cs="Arial"/>
                <w:sz w:val="18"/>
                <w:szCs w:val="18"/>
              </w:rPr>
              <w:t>Hennen</w:t>
            </w:r>
          </w:p>
        </w:tc>
      </w:tr>
      <w:tr w:rsidR="00E40B37" w:rsidRPr="00B414AF" w:rsidTr="00BD06A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39428B" w:rsidRPr="00B414AF" w:rsidRDefault="006F40DB" w:rsidP="0039428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B414AF">
              <w:rPr>
                <w:rFonts w:ascii="Arial" w:hAnsi="Arial" w:cs="Arial"/>
                <w:sz w:val="18"/>
                <w:szCs w:val="18"/>
              </w:rPr>
              <w:t>Phone:</w:t>
            </w:r>
            <w:r w:rsidR="00931997" w:rsidRPr="00B414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14AF">
              <w:rPr>
                <w:rFonts w:ascii="Arial" w:hAnsi="Arial" w:cs="Arial"/>
                <w:sz w:val="18"/>
                <w:szCs w:val="18"/>
              </w:rPr>
              <w:t>+49-991-2700-0</w:t>
            </w:r>
          </w:p>
        </w:tc>
        <w:tc>
          <w:tcPr>
            <w:tcW w:w="2551" w:type="dxa"/>
            <w:shd w:val="clear" w:color="auto" w:fill="auto"/>
          </w:tcPr>
          <w:p w:rsidR="00E40B37" w:rsidRPr="00B414AF" w:rsidRDefault="00E40B37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B414AF">
              <w:rPr>
                <w:rFonts w:ascii="Arial" w:hAnsi="Arial" w:cs="Arial"/>
                <w:sz w:val="18"/>
                <w:szCs w:val="18"/>
              </w:rPr>
              <w:t>Phone:</w:t>
            </w:r>
            <w:r w:rsidR="00931997" w:rsidRPr="00B414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14AF">
              <w:rPr>
                <w:rFonts w:ascii="Arial" w:hAnsi="Arial" w:cs="Arial"/>
                <w:sz w:val="18"/>
                <w:szCs w:val="18"/>
              </w:rPr>
              <w:t>+49-2405-4526720</w:t>
            </w:r>
          </w:p>
        </w:tc>
      </w:tr>
      <w:tr w:rsidR="00E40B37" w:rsidRPr="00B414AF" w:rsidTr="00BD06A3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0436FF" w:rsidRPr="00B414AF" w:rsidRDefault="008342ED" w:rsidP="000436FF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0436FF" w:rsidRPr="00B414AF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E40B37" w:rsidRPr="00B414AF" w:rsidRDefault="008342ED" w:rsidP="00143DF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BD06A3" w:rsidRPr="00B414AF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www.congatec.it</w:t>
              </w:r>
            </w:hyperlink>
            <w:r w:rsidR="00931997" w:rsidRPr="00B414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40B37" w:rsidRPr="00B414AF" w:rsidRDefault="008342ED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40B37" w:rsidRPr="00B414AF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</w:p>
          <w:p w:rsidR="00E40B37" w:rsidRPr="00B414AF" w:rsidRDefault="008342ED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40B37" w:rsidRPr="00B414AF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D108AC" w:rsidRPr="00B414A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B414A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EC47A8" w:rsidRPr="00B414AF" w:rsidRDefault="00EC47A8" w:rsidP="00EC47A8">
      <w:pPr>
        <w:spacing w:after="120"/>
        <w:rPr>
          <w:rFonts w:ascii="Arial" w:hAnsi="Arial" w:cs="Arial"/>
          <w:noProof/>
          <w:lang w:eastAsia="de-DE"/>
        </w:rPr>
      </w:pPr>
    </w:p>
    <w:p w:rsidR="00937430" w:rsidRPr="00B414AF" w:rsidRDefault="00854647" w:rsidP="00EC47A8">
      <w:pPr>
        <w:spacing w:after="120"/>
        <w:rPr>
          <w:rFonts w:ascii="Arial" w:hAnsi="Arial" w:cs="Arial"/>
          <w:i/>
          <w:noProof/>
          <w:sz w:val="16"/>
          <w:szCs w:val="16"/>
          <w:lang w:val="it-IT" w:eastAsia="de-DE"/>
        </w:rPr>
      </w:pPr>
      <w:r w:rsidRPr="00B414AF">
        <w:rPr>
          <w:rFonts w:ascii="Arial" w:hAnsi="Arial" w:cs="Arial"/>
          <w:i/>
          <w:noProof/>
          <w:sz w:val="16"/>
          <w:szCs w:val="16"/>
          <w:lang w:val="it-IT" w:eastAsia="de-DE"/>
        </w:rPr>
        <w:drawing>
          <wp:inline distT="0" distB="0" distL="0" distR="0">
            <wp:extent cx="1560652" cy="780415"/>
            <wp:effectExtent l="19050" t="0" r="1448" b="0"/>
            <wp:docPr id="1" name="Grafik 1" descr="PR-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-2.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652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7A8" w:rsidRPr="00B414AF" w:rsidRDefault="002719EA" w:rsidP="00EC47A8">
      <w:pPr>
        <w:spacing w:after="120"/>
        <w:rPr>
          <w:rFonts w:ascii="Arial" w:hAnsi="Arial" w:cs="Arial"/>
          <w:i/>
          <w:noProof/>
          <w:sz w:val="16"/>
          <w:szCs w:val="16"/>
          <w:lang w:val="it-IT" w:eastAsia="de-DE"/>
        </w:rPr>
      </w:pPr>
      <w:r w:rsidRPr="00B414AF">
        <w:rPr>
          <w:rFonts w:ascii="Arial" w:hAnsi="Arial" w:cs="Arial"/>
          <w:i/>
          <w:noProof/>
          <w:sz w:val="16"/>
          <w:szCs w:val="16"/>
          <w:lang w:val="it-IT" w:eastAsia="de-DE"/>
        </w:rPr>
        <w:t>Testo</w:t>
      </w:r>
      <w:r w:rsidR="00931997" w:rsidRPr="00B414AF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B414AF">
        <w:rPr>
          <w:rFonts w:ascii="Arial" w:hAnsi="Arial" w:cs="Arial"/>
          <w:i/>
          <w:noProof/>
          <w:sz w:val="16"/>
          <w:szCs w:val="16"/>
          <w:lang w:val="it-IT" w:eastAsia="de-DE"/>
        </w:rPr>
        <w:t>e</w:t>
      </w:r>
      <w:r w:rsidR="00931997" w:rsidRPr="00B414AF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B414AF">
        <w:rPr>
          <w:rFonts w:ascii="Arial" w:hAnsi="Arial" w:cs="Arial"/>
          <w:i/>
          <w:noProof/>
          <w:sz w:val="16"/>
          <w:szCs w:val="16"/>
          <w:lang w:val="it-IT" w:eastAsia="de-DE"/>
        </w:rPr>
        <w:t>foto</w:t>
      </w:r>
      <w:r w:rsidR="00931997" w:rsidRPr="00B414AF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B414AF">
        <w:rPr>
          <w:rFonts w:ascii="Arial" w:hAnsi="Arial" w:cs="Arial"/>
          <w:i/>
          <w:noProof/>
          <w:sz w:val="16"/>
          <w:szCs w:val="16"/>
          <w:lang w:val="it-IT" w:eastAsia="de-DE"/>
        </w:rPr>
        <w:t>disponibili</w:t>
      </w:r>
      <w:r w:rsidR="00931997" w:rsidRPr="00B414AF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B414AF">
        <w:rPr>
          <w:rFonts w:ascii="Arial" w:hAnsi="Arial" w:cs="Arial"/>
          <w:i/>
          <w:noProof/>
          <w:sz w:val="16"/>
          <w:szCs w:val="16"/>
          <w:lang w:val="it-IT" w:eastAsia="de-DE"/>
        </w:rPr>
        <w:t>presso:</w:t>
      </w:r>
      <w:r w:rsidR="00931997" w:rsidRPr="00B414AF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hyperlink r:id="rId10" w:history="1">
        <w:r w:rsidR="001B21DE" w:rsidRPr="00B414AF">
          <w:rPr>
            <w:rStyle w:val="Hyperlink"/>
            <w:rFonts w:ascii="Arial" w:hAnsi="Arial" w:cs="Arial"/>
            <w:i/>
            <w:noProof/>
            <w:sz w:val="16"/>
            <w:szCs w:val="16"/>
            <w:lang w:val="it-IT" w:eastAsia="de-DE"/>
          </w:rPr>
          <w:t>https://www.congatec.com/it/congatec/comunicato-stampa.html</w:t>
        </w:r>
      </w:hyperlink>
      <w:r w:rsidR="00931997" w:rsidRPr="00B414AF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B414AF">
        <w:rPr>
          <w:rFonts w:ascii="Arial" w:hAnsi="Arial" w:cs="Arial"/>
          <w:i/>
          <w:noProof/>
          <w:sz w:val="16"/>
          <w:szCs w:val="16"/>
          <w:lang w:val="it-IT" w:eastAsia="de-DE"/>
        </w:rPr>
        <w:br/>
      </w:r>
    </w:p>
    <w:p w:rsidR="00DA29E2" w:rsidRPr="00B414AF" w:rsidRDefault="00DA29E2" w:rsidP="00DA29E2">
      <w:pPr>
        <w:spacing w:after="120"/>
        <w:rPr>
          <w:rFonts w:ascii="Arial" w:hAnsi="Arial" w:cs="Arial"/>
          <w:b/>
          <w:u w:val="single"/>
          <w:lang w:val="it-IT"/>
        </w:rPr>
      </w:pPr>
      <w:r w:rsidRPr="00B414AF">
        <w:rPr>
          <w:rFonts w:ascii="Arial" w:hAnsi="Arial" w:cs="Arial"/>
          <w:b/>
          <w:u w:val="single"/>
          <w:lang w:val="it-IT"/>
        </w:rPr>
        <w:t xml:space="preserve">Comunicato stampa </w:t>
      </w:r>
    </w:p>
    <w:p w:rsidR="00D108AC" w:rsidRPr="00B414AF" w:rsidRDefault="00D108AC" w:rsidP="00D108AC">
      <w:pPr>
        <w:jc w:val="right"/>
        <w:rPr>
          <w:rFonts w:ascii="Arial" w:hAnsi="Arial" w:cs="Arial"/>
          <w:kern w:val="2"/>
          <w:sz w:val="22"/>
          <w:szCs w:val="22"/>
          <w:lang w:val="it-IT"/>
        </w:rPr>
      </w:pPr>
    </w:p>
    <w:p w:rsidR="007360EC" w:rsidRPr="00B414AF" w:rsidRDefault="007360EC" w:rsidP="007360EC">
      <w:pPr>
        <w:tabs>
          <w:tab w:val="left" w:pos="709"/>
        </w:tabs>
        <w:ind w:right="-2"/>
        <w:jc w:val="center"/>
        <w:rPr>
          <w:rFonts w:ascii="Arial" w:hAnsi="Arial" w:cs="Arial"/>
          <w:sz w:val="28"/>
          <w:szCs w:val="28"/>
          <w:lang w:val="it-IT"/>
        </w:rPr>
      </w:pPr>
      <w:proofErr w:type="gramStart"/>
      <w:r w:rsidRPr="00B414AF">
        <w:rPr>
          <w:rFonts w:ascii="Arial" w:hAnsi="Arial" w:cs="Arial"/>
          <w:lang w:val="it-IT"/>
        </w:rPr>
        <w:t>congatec</w:t>
      </w:r>
      <w:proofErr w:type="gramEnd"/>
      <w:r w:rsidRPr="00B414AF">
        <w:rPr>
          <w:rFonts w:ascii="Arial" w:hAnsi="Arial" w:cs="Arial"/>
          <w:lang w:val="it-IT"/>
        </w:rPr>
        <w:t xml:space="preserve"> introduce un nuovo ecosistema per COM-HPC</w:t>
      </w:r>
    </w:p>
    <w:p w:rsidR="007360EC" w:rsidRPr="00B414AF" w:rsidRDefault="007360EC" w:rsidP="007360EC">
      <w:pPr>
        <w:ind w:right="-2"/>
        <w:jc w:val="center"/>
        <w:rPr>
          <w:rFonts w:ascii="Arial" w:hAnsi="Arial" w:cs="Arial"/>
          <w:sz w:val="28"/>
          <w:szCs w:val="28"/>
          <w:lang w:val="it-IT"/>
        </w:rPr>
      </w:pPr>
    </w:p>
    <w:p w:rsidR="007360EC" w:rsidRPr="00B414AF" w:rsidRDefault="007360EC" w:rsidP="007360EC">
      <w:pPr>
        <w:ind w:right="-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B414AF">
        <w:rPr>
          <w:rFonts w:ascii="Arial" w:hAnsi="Arial" w:cs="Arial"/>
          <w:b/>
          <w:bCs/>
          <w:sz w:val="34"/>
          <w:szCs w:val="34"/>
          <w:lang w:val="it-IT"/>
        </w:rPr>
        <w:t xml:space="preserve">Una pietra miliare per l’integrazione di COM-HPC </w:t>
      </w:r>
    </w:p>
    <w:p w:rsidR="007360EC" w:rsidRPr="00B414AF" w:rsidRDefault="007360EC" w:rsidP="007360EC">
      <w:pPr>
        <w:spacing w:line="360" w:lineRule="auto"/>
        <w:ind w:right="-2"/>
        <w:rPr>
          <w:rFonts w:ascii="Arial" w:hAnsi="Arial" w:cs="Arial"/>
          <w:b/>
          <w:sz w:val="22"/>
          <w:szCs w:val="22"/>
          <w:lang w:val="it-IT"/>
        </w:rPr>
      </w:pPr>
    </w:p>
    <w:p w:rsidR="007360EC" w:rsidRPr="00B414AF" w:rsidRDefault="007360EC" w:rsidP="007360EC">
      <w:pPr>
        <w:spacing w:line="360" w:lineRule="auto"/>
        <w:ind w:right="-2"/>
        <w:rPr>
          <w:rFonts w:ascii="Arial" w:hAnsi="Arial" w:cs="Arial"/>
          <w:sz w:val="22"/>
          <w:szCs w:val="22"/>
          <w:lang w:val="it-IT"/>
        </w:rPr>
      </w:pPr>
      <w:proofErr w:type="spellStart"/>
      <w:r w:rsidRPr="00B414AF">
        <w:rPr>
          <w:rFonts w:ascii="Arial" w:hAnsi="Arial" w:cs="Arial"/>
          <w:b/>
          <w:sz w:val="22"/>
          <w:szCs w:val="22"/>
          <w:lang w:val="it-IT"/>
        </w:rPr>
        <w:t>Deggendorf</w:t>
      </w:r>
      <w:proofErr w:type="spellEnd"/>
      <w:r w:rsidRPr="00B414AF">
        <w:rPr>
          <w:rFonts w:ascii="Arial" w:hAnsi="Arial" w:cs="Arial"/>
          <w:b/>
          <w:sz w:val="22"/>
          <w:szCs w:val="22"/>
          <w:lang w:val="it-IT"/>
        </w:rPr>
        <w:t xml:space="preserve">, Germania, 10 </w:t>
      </w:r>
      <w:proofErr w:type="gramStart"/>
      <w:r w:rsidRPr="00B414AF">
        <w:rPr>
          <w:rFonts w:ascii="Arial" w:hAnsi="Arial" w:cs="Arial"/>
          <w:b/>
          <w:sz w:val="22"/>
          <w:szCs w:val="22"/>
          <w:lang w:val="it-IT"/>
        </w:rPr>
        <w:t>Novembre</w:t>
      </w:r>
      <w:proofErr w:type="gramEnd"/>
      <w:r w:rsidRPr="00B414AF">
        <w:rPr>
          <w:rFonts w:ascii="Arial" w:hAnsi="Arial" w:cs="Arial"/>
          <w:b/>
          <w:sz w:val="22"/>
          <w:szCs w:val="22"/>
          <w:lang w:val="it-IT"/>
        </w:rPr>
        <w:t xml:space="preserve"> 2020 * * *</w:t>
      </w:r>
      <w:r w:rsidRPr="00B414AF">
        <w:rPr>
          <w:rFonts w:ascii="Arial" w:hAnsi="Arial" w:cs="Arial"/>
          <w:sz w:val="22"/>
          <w:szCs w:val="22"/>
          <w:lang w:val="it-IT"/>
        </w:rPr>
        <w:t xml:space="preserve"> congatec – azienda leader nei settori della tecnologia di elaborazione per applicazioni embedded ed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edge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 - ha annunciato l'introduzione della prima scheda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carrier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 e delle prime soluzioni di raffreddamento che rappresentano la base del nuovo ecosistema per il recentissimo standard COM-HPC™ di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PICMG</w:t>
      </w:r>
      <w:r w:rsidRPr="00B414AF">
        <w:rPr>
          <w:rFonts w:ascii="Arial" w:hAnsi="Arial" w:cs="Arial"/>
          <w:sz w:val="22"/>
          <w:szCs w:val="22"/>
          <w:vertAlign w:val="superscript"/>
          <w:lang w:val="it-IT"/>
        </w:rPr>
        <w:t>®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. Si tratta di elementi chiave del processo </w:t>
      </w:r>
      <w:proofErr w:type="gramStart"/>
      <w:r w:rsidRPr="00B414AF">
        <w:rPr>
          <w:rFonts w:ascii="Arial" w:hAnsi="Arial" w:cs="Arial"/>
          <w:sz w:val="22"/>
          <w:szCs w:val="22"/>
          <w:lang w:val="it-IT"/>
        </w:rPr>
        <w:t xml:space="preserve">di </w:t>
      </w:r>
      <w:proofErr w:type="gramEnd"/>
      <w:r w:rsidRPr="00B414AF">
        <w:rPr>
          <w:rFonts w:ascii="Arial" w:hAnsi="Arial" w:cs="Arial"/>
          <w:sz w:val="22"/>
          <w:szCs w:val="22"/>
          <w:lang w:val="it-IT"/>
        </w:rPr>
        <w:t>integrazione di questo standard e sono stati esplicitamente concepiti per accelerare l’utilizzo dei moduli COM-HPC di congatec equipaggiati con i più recenti processori Intel</w:t>
      </w:r>
      <w:r w:rsidRPr="00B414AF">
        <w:rPr>
          <w:rFonts w:ascii="Arial" w:hAnsi="Arial" w:cs="Arial"/>
          <w:sz w:val="22"/>
          <w:szCs w:val="22"/>
          <w:vertAlign w:val="superscript"/>
          <w:lang w:val="it-IT"/>
        </w:rPr>
        <w:t>®</w:t>
      </w:r>
      <w:r w:rsidRPr="00B414AF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Core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™ di 11a generazione (nome in codice Tiger Lake). Il nuovo standard COM-HPC si distingue per numerose caratteristiche innovative tra cui spiccano la disponibilità di un gran numero delle più recenti interfacce ad alta velocità come PCIe Gen. </w:t>
      </w:r>
      <w:proofErr w:type="gramStart"/>
      <w:r w:rsidRPr="00B414AF">
        <w:rPr>
          <w:rFonts w:ascii="Arial" w:hAnsi="Arial" w:cs="Arial"/>
          <w:sz w:val="22"/>
          <w:szCs w:val="22"/>
          <w:lang w:val="it-IT"/>
        </w:rPr>
        <w:t>4</w:t>
      </w:r>
      <w:proofErr w:type="gramEnd"/>
      <w:r w:rsidRPr="00B414AF">
        <w:rPr>
          <w:rFonts w:ascii="Arial" w:hAnsi="Arial" w:cs="Arial"/>
          <w:sz w:val="22"/>
          <w:szCs w:val="22"/>
          <w:lang w:val="it-IT"/>
        </w:rPr>
        <w:t xml:space="preserve"> e USB 4.0 e di un connettore ad alta velocità studiato per supportare future evoluzioni, oltre all’integrazione di un insieme completo di funzionalità per la gestione remota.</w:t>
      </w:r>
    </w:p>
    <w:p w:rsidR="007360EC" w:rsidRPr="00B414AF" w:rsidRDefault="007360EC" w:rsidP="007360EC">
      <w:pPr>
        <w:spacing w:line="360" w:lineRule="auto"/>
        <w:ind w:right="-2"/>
        <w:rPr>
          <w:rFonts w:ascii="Arial" w:hAnsi="Arial" w:cs="Arial"/>
          <w:sz w:val="22"/>
          <w:szCs w:val="22"/>
          <w:lang w:val="it-IT"/>
        </w:rPr>
      </w:pPr>
    </w:p>
    <w:p w:rsidR="007360EC" w:rsidRPr="00B414AF" w:rsidRDefault="007360EC" w:rsidP="007360EC">
      <w:pPr>
        <w:spacing w:line="360" w:lineRule="auto"/>
        <w:ind w:right="-2"/>
        <w:rPr>
          <w:rFonts w:ascii="Arial" w:hAnsi="Arial" w:cs="Arial"/>
          <w:sz w:val="22"/>
          <w:szCs w:val="22"/>
          <w:lang w:val="it-IT"/>
        </w:rPr>
      </w:pPr>
      <w:r w:rsidRPr="00B414AF">
        <w:rPr>
          <w:rFonts w:ascii="Arial" w:hAnsi="Arial" w:cs="Arial"/>
          <w:sz w:val="22"/>
          <w:szCs w:val="22"/>
          <w:lang w:val="it-IT"/>
        </w:rPr>
        <w:t xml:space="preserve">“Con le nostre soluzioni basate sugli standard COM- HPC e COM Express – ha </w:t>
      </w:r>
      <w:proofErr w:type="gramStart"/>
      <w:r w:rsidRPr="00B414AF">
        <w:rPr>
          <w:rFonts w:ascii="Arial" w:hAnsi="Arial" w:cs="Arial"/>
          <w:sz w:val="22"/>
          <w:szCs w:val="22"/>
          <w:lang w:val="it-IT"/>
        </w:rPr>
        <w:t>sottolineato</w:t>
      </w:r>
      <w:proofErr w:type="gramEnd"/>
      <w:r w:rsidRPr="00B414AF">
        <w:rPr>
          <w:rFonts w:ascii="Arial" w:hAnsi="Arial" w:cs="Arial"/>
          <w:sz w:val="22"/>
          <w:szCs w:val="22"/>
          <w:lang w:val="it-IT"/>
        </w:rPr>
        <w:t xml:space="preserve"> Andreas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Bergbauer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Product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Line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 Manager di congatec – possiamo offrire due opzioni estremamente valide per l’utilizzo dei processori Tiger Lake di Intel. Il nostro obiettivo è incoraggiare i progettisti di sistemi a valutare tutti le caratteristiche e a scoprire gli innumerevoli vantaggi della nuova piattaforma COM-HPC. Si tratta di un’operazione </w:t>
      </w:r>
      <w:proofErr w:type="gramStart"/>
      <w:r w:rsidRPr="00B414AF">
        <w:rPr>
          <w:rFonts w:ascii="Arial" w:hAnsi="Arial" w:cs="Arial"/>
          <w:sz w:val="22"/>
          <w:szCs w:val="22"/>
          <w:lang w:val="it-IT"/>
        </w:rPr>
        <w:t>estremamente</w:t>
      </w:r>
      <w:proofErr w:type="gramEnd"/>
      <w:r w:rsidRPr="00B414AF">
        <w:rPr>
          <w:rFonts w:ascii="Arial" w:hAnsi="Arial" w:cs="Arial"/>
          <w:sz w:val="22"/>
          <w:szCs w:val="22"/>
          <w:lang w:val="it-IT"/>
        </w:rPr>
        <w:t xml:space="preserve"> semplice perché le nostre API sono assolutamente identiche sia per COM-HPC sia per COM Express, in modo da consentire ai progettisti di lavorare su entrambe le piattaforme e passare senza problemi dall’una all’altra”.</w:t>
      </w:r>
    </w:p>
    <w:p w:rsidR="007360EC" w:rsidRPr="00B414AF" w:rsidRDefault="007360EC" w:rsidP="007360EC">
      <w:pPr>
        <w:spacing w:line="360" w:lineRule="auto"/>
        <w:ind w:right="-2"/>
        <w:rPr>
          <w:rFonts w:ascii="Arial" w:hAnsi="Arial" w:cs="Arial"/>
          <w:sz w:val="22"/>
          <w:szCs w:val="22"/>
          <w:lang w:val="it-IT"/>
        </w:rPr>
      </w:pPr>
    </w:p>
    <w:p w:rsidR="007360EC" w:rsidRPr="00B414AF" w:rsidRDefault="007360EC" w:rsidP="007360EC">
      <w:pPr>
        <w:spacing w:line="360" w:lineRule="auto"/>
        <w:ind w:right="-2"/>
        <w:rPr>
          <w:rFonts w:ascii="Arial" w:hAnsi="Arial" w:cs="Arial"/>
          <w:sz w:val="22"/>
          <w:szCs w:val="22"/>
          <w:lang w:val="it-IT"/>
        </w:rPr>
      </w:pPr>
      <w:r w:rsidRPr="00B414AF">
        <w:rPr>
          <w:rFonts w:ascii="Arial" w:hAnsi="Arial" w:cs="Arial"/>
          <w:sz w:val="22"/>
          <w:szCs w:val="22"/>
          <w:lang w:val="it-IT"/>
        </w:rPr>
        <w:t xml:space="preserve">L’utilizzo di COM-HPC per l’integrazione dei processori Intel®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Core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™ di 11a generazione comporta vantaggi immediati per gli utilizzatori, che possono così </w:t>
      </w:r>
      <w:proofErr w:type="gramStart"/>
      <w:r w:rsidRPr="00B414AF">
        <w:rPr>
          <w:rFonts w:ascii="Arial" w:hAnsi="Arial" w:cs="Arial"/>
          <w:sz w:val="22"/>
          <w:szCs w:val="22"/>
          <w:lang w:val="it-IT"/>
        </w:rPr>
        <w:t>disporre di</w:t>
      </w:r>
      <w:proofErr w:type="gramEnd"/>
      <w:r w:rsidRPr="00B414AF">
        <w:rPr>
          <w:rFonts w:ascii="Arial" w:hAnsi="Arial" w:cs="Arial"/>
          <w:sz w:val="22"/>
          <w:szCs w:val="22"/>
          <w:lang w:val="it-IT"/>
        </w:rPr>
        <w:t xml:space="preserve"> connessioni conformi a PCIe Gen.4 e sfruttare l’ampiezza di banda delle porte USB 4.0, nonché i benefici derivati dalla presenza di interfacce 2.5 GbE, SoundWire e MIPI-CSI. Senza </w:t>
      </w:r>
      <w:proofErr w:type="gramStart"/>
      <w:r w:rsidRPr="00B414AF">
        <w:rPr>
          <w:rFonts w:ascii="Arial" w:hAnsi="Arial" w:cs="Arial"/>
          <w:sz w:val="22"/>
          <w:szCs w:val="22"/>
          <w:lang w:val="it-IT"/>
        </w:rPr>
        <w:t>dimenticare il fatto che</w:t>
      </w:r>
      <w:proofErr w:type="gramEnd"/>
      <w:r w:rsidRPr="00B414AF">
        <w:rPr>
          <w:rFonts w:ascii="Arial" w:hAnsi="Arial" w:cs="Arial"/>
          <w:sz w:val="22"/>
          <w:szCs w:val="22"/>
          <w:lang w:val="it-IT"/>
        </w:rPr>
        <w:t xml:space="preserve"> gli sviluppatori che volessero incrementare le prestazioni dei loro sistemi di fascia alta fino a raggiungere quelle tipiche dei server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edge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 e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fog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 utilizzando un unico standard possono ricorrere a COM-HPC per implementare tutte le loro soluzioni. Un’</w:t>
      </w:r>
      <w:proofErr w:type="gramStart"/>
      <w:r w:rsidRPr="00B414AF">
        <w:rPr>
          <w:rFonts w:ascii="Arial" w:hAnsi="Arial" w:cs="Arial"/>
          <w:sz w:val="22"/>
          <w:szCs w:val="22"/>
          <w:lang w:val="it-IT"/>
        </w:rPr>
        <w:t>ulteriore</w:t>
      </w:r>
      <w:proofErr w:type="gramEnd"/>
      <w:r w:rsidRPr="00B414AF">
        <w:rPr>
          <w:rFonts w:ascii="Arial" w:hAnsi="Arial" w:cs="Arial"/>
          <w:sz w:val="22"/>
          <w:szCs w:val="22"/>
          <w:lang w:val="it-IT"/>
        </w:rPr>
        <w:t xml:space="preserve"> ragione per sperimentare la nuova piattaforma di valutazione per lo standard COM-HPC è senza dubbio la prospettiva di poter utilizzare moduli corredati da un insieme completo di funzionalità per la gestione remota.</w:t>
      </w:r>
    </w:p>
    <w:p w:rsidR="007360EC" w:rsidRPr="00B414AF" w:rsidRDefault="007360EC" w:rsidP="007360EC">
      <w:pPr>
        <w:spacing w:line="360" w:lineRule="auto"/>
        <w:ind w:right="-2"/>
        <w:rPr>
          <w:rFonts w:ascii="Arial" w:hAnsi="Arial" w:cs="Arial"/>
          <w:sz w:val="22"/>
          <w:szCs w:val="22"/>
          <w:lang w:val="it-IT"/>
        </w:rPr>
      </w:pPr>
    </w:p>
    <w:p w:rsidR="007360EC" w:rsidRPr="00B414AF" w:rsidRDefault="007360EC" w:rsidP="007360EC">
      <w:pPr>
        <w:spacing w:line="360" w:lineRule="auto"/>
        <w:ind w:right="-2"/>
        <w:rPr>
          <w:rFonts w:ascii="Arial" w:hAnsi="Arial" w:cs="Arial"/>
          <w:b/>
          <w:sz w:val="22"/>
          <w:szCs w:val="22"/>
          <w:lang w:val="it-IT"/>
        </w:rPr>
      </w:pPr>
      <w:r w:rsidRPr="00B414AF">
        <w:rPr>
          <w:rFonts w:ascii="Arial" w:hAnsi="Arial" w:cs="Arial"/>
          <w:b/>
          <w:sz w:val="22"/>
          <w:szCs w:val="22"/>
          <w:lang w:val="it-IT"/>
        </w:rPr>
        <w:t>Uno sguardo in profondità</w:t>
      </w:r>
    </w:p>
    <w:p w:rsidR="007360EC" w:rsidRPr="00B414AF" w:rsidRDefault="007360EC" w:rsidP="007360EC">
      <w:pPr>
        <w:spacing w:line="360" w:lineRule="auto"/>
        <w:ind w:right="-2"/>
        <w:rPr>
          <w:rFonts w:ascii="Arial" w:hAnsi="Arial" w:cs="Arial"/>
          <w:sz w:val="22"/>
          <w:szCs w:val="22"/>
          <w:lang w:val="it-IT"/>
        </w:rPr>
      </w:pPr>
      <w:r w:rsidRPr="00B414AF">
        <w:rPr>
          <w:rFonts w:ascii="Arial" w:hAnsi="Arial" w:cs="Arial"/>
          <w:sz w:val="22"/>
          <w:szCs w:val="22"/>
          <w:lang w:val="it-IT"/>
        </w:rPr>
        <w:t xml:space="preserve">Espressamente progettata per l’uso in fase di valutazione, la scheda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carrier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conga-HPC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>/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EVAL-Client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 per COM-HPC integra tutte le interfacce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R&amp;D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 richieste per la programmazione, il caricamento del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firmware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B414AF">
        <w:rPr>
          <w:rFonts w:ascii="Arial" w:hAnsi="Arial" w:cs="Arial"/>
          <w:sz w:val="22"/>
          <w:szCs w:val="22"/>
          <w:lang w:val="it-IT"/>
        </w:rPr>
        <w:t>nella</w:t>
      </w:r>
      <w:proofErr w:type="gramEnd"/>
      <w:r w:rsidRPr="00B414AF">
        <w:rPr>
          <w:rFonts w:ascii="Arial" w:hAnsi="Arial" w:cs="Arial"/>
          <w:sz w:val="22"/>
          <w:szCs w:val="22"/>
          <w:lang w:val="it-IT"/>
        </w:rPr>
        <w:t xml:space="preserve"> flash (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flashing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) e il reset. La nuova scheda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carrier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 COM-HPC include inoltre tutte le interfacce specificate dal nuovo standard COM-HPC Client e può operare nell’intervallo di temperatura esteso </w:t>
      </w:r>
      <w:proofErr w:type="gramStart"/>
      <w:r w:rsidRPr="00B414AF">
        <w:rPr>
          <w:rFonts w:ascii="Arial" w:hAnsi="Arial" w:cs="Arial"/>
          <w:sz w:val="22"/>
          <w:szCs w:val="22"/>
          <w:lang w:val="it-IT"/>
        </w:rPr>
        <w:t>compreso tra -40</w:t>
      </w:r>
      <w:proofErr w:type="gramEnd"/>
      <w:r w:rsidRPr="00B414AF">
        <w:rPr>
          <w:rFonts w:ascii="Arial" w:hAnsi="Arial" w:cs="Arial"/>
          <w:sz w:val="22"/>
          <w:szCs w:val="22"/>
          <w:lang w:val="it-IT"/>
        </w:rPr>
        <w:t xml:space="preserve"> e +85 °C. Essa può essere utilizzata con schede nei formati A, B e C definiti da COM-HPC Client e supporta un’ampia gamma di ampiezze di banda per la trasmissione dati sulla </w:t>
      </w:r>
      <w:proofErr w:type="gramStart"/>
      <w:r w:rsidRPr="00B414AF">
        <w:rPr>
          <w:rFonts w:ascii="Arial" w:hAnsi="Arial" w:cs="Arial"/>
          <w:sz w:val="22"/>
          <w:szCs w:val="22"/>
          <w:lang w:val="it-IT"/>
        </w:rPr>
        <w:t>LAN</w:t>
      </w:r>
      <w:proofErr w:type="gramEnd"/>
      <w:r w:rsidRPr="00B414AF">
        <w:rPr>
          <w:rFonts w:ascii="Arial" w:hAnsi="Arial" w:cs="Arial"/>
          <w:sz w:val="22"/>
          <w:szCs w:val="22"/>
          <w:lang w:val="it-IT"/>
        </w:rPr>
        <w:t xml:space="preserve">, metodologie di trasferimento dati e connettori. La scheda </w:t>
      </w:r>
      <w:proofErr w:type="gramStart"/>
      <w:r w:rsidRPr="00B414AF">
        <w:rPr>
          <w:rFonts w:ascii="Arial" w:hAnsi="Arial" w:cs="Arial"/>
          <w:sz w:val="22"/>
          <w:szCs w:val="22"/>
          <w:lang w:val="it-IT"/>
        </w:rPr>
        <w:t>viene</w:t>
      </w:r>
      <w:proofErr w:type="gramEnd"/>
      <w:r w:rsidRPr="00B414AF">
        <w:rPr>
          <w:rFonts w:ascii="Arial" w:hAnsi="Arial" w:cs="Arial"/>
          <w:sz w:val="22"/>
          <w:szCs w:val="22"/>
          <w:lang w:val="it-IT"/>
        </w:rPr>
        <w:t xml:space="preserve"> fornita in differenti versioni per garantire la massima flessibilità che prevedono il supporto di interfacce Ethernet KR, fino a due porte 10 GbE, 2.5 GbE e 1GbE. Sulla scheda sono altresì disponibili due connettori PCIe Gen.4 x16 che permettono l’utilizzo delle più recenti schede di espansione ad alte prestazioni. Tramite schede mezzanino, la scheda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carrier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 può supportare interfacce a più alte prestazioni, fino a 4 porte </w:t>
      </w:r>
      <w:proofErr w:type="gramStart"/>
      <w:r w:rsidRPr="00B414AF">
        <w:rPr>
          <w:rFonts w:ascii="Arial" w:hAnsi="Arial" w:cs="Arial"/>
          <w:sz w:val="22"/>
          <w:szCs w:val="22"/>
          <w:lang w:val="it-IT"/>
        </w:rPr>
        <w:t>25</w:t>
      </w:r>
      <w:proofErr w:type="gramEnd"/>
      <w:r w:rsidRPr="00B414AF">
        <w:rPr>
          <w:rFonts w:ascii="Arial" w:hAnsi="Arial" w:cs="Arial"/>
          <w:sz w:val="22"/>
          <w:szCs w:val="22"/>
          <w:lang w:val="it-IT"/>
        </w:rPr>
        <w:t xml:space="preserve"> GbE, rendendo questa piattaforma di valutazione la soluzione ideale per dispositivi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edge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 connessi in modo massivo.</w:t>
      </w:r>
    </w:p>
    <w:p w:rsidR="007360EC" w:rsidRPr="00B414AF" w:rsidRDefault="007360EC" w:rsidP="007360EC">
      <w:pPr>
        <w:spacing w:line="360" w:lineRule="auto"/>
        <w:ind w:right="-2"/>
        <w:rPr>
          <w:rFonts w:ascii="Arial" w:hAnsi="Arial" w:cs="Arial"/>
          <w:sz w:val="22"/>
          <w:szCs w:val="22"/>
          <w:lang w:val="it-IT"/>
        </w:rPr>
      </w:pPr>
    </w:p>
    <w:p w:rsidR="007360EC" w:rsidRPr="00B414AF" w:rsidRDefault="007360EC" w:rsidP="007360EC">
      <w:pPr>
        <w:spacing w:line="360" w:lineRule="auto"/>
        <w:ind w:right="-2"/>
        <w:rPr>
          <w:rFonts w:ascii="Arial" w:hAnsi="Arial" w:cs="Arial"/>
          <w:sz w:val="22"/>
          <w:szCs w:val="22"/>
          <w:lang w:val="it-IT"/>
        </w:rPr>
      </w:pPr>
      <w:r w:rsidRPr="00B414AF">
        <w:rPr>
          <w:rFonts w:ascii="Arial" w:hAnsi="Arial" w:cs="Arial"/>
          <w:sz w:val="22"/>
          <w:szCs w:val="22"/>
          <w:lang w:val="it-IT"/>
        </w:rPr>
        <w:t xml:space="preserve">La soluzione di raffreddamento per i nuovi moduli COM-HPC </w:t>
      </w:r>
      <w:proofErr w:type="gramStart"/>
      <w:r w:rsidRPr="00B414AF">
        <w:rPr>
          <w:rFonts w:ascii="Arial" w:hAnsi="Arial" w:cs="Arial"/>
          <w:sz w:val="22"/>
          <w:szCs w:val="22"/>
          <w:lang w:val="it-IT"/>
        </w:rPr>
        <w:t>viene</w:t>
      </w:r>
      <w:proofErr w:type="gramEnd"/>
      <w:r w:rsidRPr="00B414AF">
        <w:rPr>
          <w:rFonts w:ascii="Arial" w:hAnsi="Arial" w:cs="Arial"/>
          <w:sz w:val="22"/>
          <w:szCs w:val="22"/>
          <w:lang w:val="it-IT"/>
        </w:rPr>
        <w:t xml:space="preserve"> fornita in tre differenti versioni per modo da adattarsi al TDP dei processori Intel®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Core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>™ di 11a generazione, configurabile tra 12 e 28W. I nuovi moduli COM-HPC sono disponibili nelle configurazioni sotto riportate:</w:t>
      </w:r>
    </w:p>
    <w:p w:rsidR="007360EC" w:rsidRPr="00B414AF" w:rsidRDefault="007360EC" w:rsidP="007360EC">
      <w:pPr>
        <w:spacing w:line="360" w:lineRule="auto"/>
        <w:ind w:right="-2"/>
        <w:rPr>
          <w:rFonts w:ascii="Arial" w:hAnsi="Arial" w:cs="Arial"/>
          <w:lang w:val="it-IT"/>
        </w:rPr>
      </w:pPr>
    </w:p>
    <w:tbl>
      <w:tblPr>
        <w:tblW w:w="9235" w:type="dxa"/>
        <w:tblLayout w:type="fixed"/>
        <w:tblLook w:val="0000"/>
      </w:tblPr>
      <w:tblGrid>
        <w:gridCol w:w="249"/>
        <w:gridCol w:w="2323"/>
        <w:gridCol w:w="283"/>
        <w:gridCol w:w="964"/>
        <w:gridCol w:w="236"/>
        <w:gridCol w:w="1530"/>
        <w:gridCol w:w="236"/>
        <w:gridCol w:w="795"/>
        <w:gridCol w:w="1077"/>
        <w:gridCol w:w="236"/>
        <w:gridCol w:w="1306"/>
      </w:tblGrid>
      <w:tr w:rsidR="007360EC" w:rsidRPr="00B414AF" w:rsidTr="002C1187">
        <w:trPr>
          <w:trHeight w:val="680"/>
        </w:trPr>
        <w:tc>
          <w:tcPr>
            <w:tcW w:w="249" w:type="dxa"/>
            <w:shd w:val="clear" w:color="auto" w:fill="auto"/>
            <w:vAlign w:val="center"/>
          </w:tcPr>
          <w:p w:rsidR="007360EC" w:rsidRPr="00B414AF" w:rsidRDefault="007360EC" w:rsidP="008932AE">
            <w:pPr>
              <w:snapToGrid w:val="0"/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auto"/>
          </w:tcPr>
          <w:p w:rsidR="007360EC" w:rsidRPr="00B414AF" w:rsidRDefault="007360EC" w:rsidP="008932AE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  <w:proofErr w:type="spellStart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>Processore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7360EC" w:rsidRPr="00B414AF" w:rsidRDefault="007360EC" w:rsidP="008932AE">
            <w:pPr>
              <w:snapToGrid w:val="0"/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4" w:space="0" w:color="000000"/>
            </w:tcBorders>
            <w:shd w:val="clear" w:color="auto" w:fill="auto"/>
          </w:tcPr>
          <w:p w:rsidR="007360EC" w:rsidRPr="00B414AF" w:rsidRDefault="007360EC" w:rsidP="008932AE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 xml:space="preserve">N° di </w:t>
            </w:r>
            <w:proofErr w:type="spellStart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>core</w:t>
            </w:r>
            <w:proofErr w:type="spellEnd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>/</w:t>
            </w:r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br/>
              <w:t>Thread</w:t>
            </w:r>
          </w:p>
        </w:tc>
        <w:tc>
          <w:tcPr>
            <w:tcW w:w="236" w:type="dxa"/>
            <w:shd w:val="clear" w:color="auto" w:fill="auto"/>
          </w:tcPr>
          <w:p w:rsidR="007360EC" w:rsidRPr="00B414AF" w:rsidRDefault="007360EC" w:rsidP="008932AE">
            <w:pPr>
              <w:snapToGrid w:val="0"/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  <w:shd w:val="clear" w:color="auto" w:fill="auto"/>
          </w:tcPr>
          <w:p w:rsidR="007360EC" w:rsidRPr="00B414AF" w:rsidRDefault="007360EC" w:rsidP="008932AE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</w:pPr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>Frequenza a 28/15/12W TDP, (Max Turbo) [</w:t>
            </w:r>
            <w:proofErr w:type="spellStart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>GHz</w:t>
            </w:r>
            <w:proofErr w:type="spellEnd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>]</w:t>
            </w:r>
          </w:p>
        </w:tc>
        <w:tc>
          <w:tcPr>
            <w:tcW w:w="236" w:type="dxa"/>
            <w:shd w:val="clear" w:color="auto" w:fill="auto"/>
          </w:tcPr>
          <w:p w:rsidR="007360EC" w:rsidRPr="00B414AF" w:rsidRDefault="007360EC" w:rsidP="008932AE">
            <w:pPr>
              <w:snapToGrid w:val="0"/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</w:pPr>
          </w:p>
        </w:tc>
        <w:tc>
          <w:tcPr>
            <w:tcW w:w="795" w:type="dxa"/>
            <w:tcBorders>
              <w:bottom w:val="single" w:sz="4" w:space="0" w:color="000000"/>
            </w:tcBorders>
            <w:shd w:val="clear" w:color="auto" w:fill="auto"/>
          </w:tcPr>
          <w:p w:rsidR="007360EC" w:rsidRPr="00B414AF" w:rsidRDefault="007360EC" w:rsidP="008932AE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>Cache [MB]</w:t>
            </w:r>
          </w:p>
        </w:tc>
        <w:tc>
          <w:tcPr>
            <w:tcW w:w="1076" w:type="dxa"/>
            <w:tcBorders>
              <w:bottom w:val="single" w:sz="4" w:space="0" w:color="000000"/>
            </w:tcBorders>
            <w:shd w:val="clear" w:color="auto" w:fill="auto"/>
          </w:tcPr>
          <w:p w:rsidR="007360EC" w:rsidRPr="00B414AF" w:rsidRDefault="007360EC" w:rsidP="008932AE">
            <w:pPr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  <w:proofErr w:type="spellStart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>Unità</w:t>
            </w:r>
            <w:proofErr w:type="spellEnd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 xml:space="preserve"> di </w:t>
            </w:r>
            <w:proofErr w:type="spellStart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>esecuzione</w:t>
            </w:r>
            <w:proofErr w:type="spellEnd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 xml:space="preserve"> </w:t>
            </w:r>
            <w:proofErr w:type="spellStart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>grafica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7360EC" w:rsidRPr="00B414AF" w:rsidRDefault="007360EC" w:rsidP="008932AE">
            <w:pPr>
              <w:snapToGrid w:val="0"/>
              <w:ind w:right="-2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1306" w:type="dxa"/>
            <w:tcBorders>
              <w:bottom w:val="single" w:sz="4" w:space="0" w:color="000000"/>
            </w:tcBorders>
            <w:shd w:val="clear" w:color="auto" w:fill="auto"/>
          </w:tcPr>
          <w:p w:rsidR="007360EC" w:rsidRPr="00B414AF" w:rsidRDefault="007360EC" w:rsidP="008932AE">
            <w:pPr>
              <w:ind w:right="-2"/>
              <w:jc w:val="center"/>
              <w:rPr>
                <w:rFonts w:ascii="Arial" w:hAnsi="Arial" w:cs="Arial"/>
              </w:rPr>
            </w:pPr>
            <w:proofErr w:type="spellStart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>Intervallo</w:t>
            </w:r>
            <w:proofErr w:type="spellEnd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 xml:space="preserve"> di </w:t>
            </w:r>
            <w:proofErr w:type="spellStart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>temperatura</w:t>
            </w:r>
            <w:proofErr w:type="spellEnd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 xml:space="preserve"> </w:t>
            </w:r>
            <w:proofErr w:type="spellStart"/>
            <w:r w:rsidRPr="00B414AF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>esteso</w:t>
            </w:r>
            <w:proofErr w:type="spellEnd"/>
          </w:p>
        </w:tc>
      </w:tr>
      <w:tr w:rsidR="002C1187" w:rsidRPr="00B414AF" w:rsidTr="002C1187">
        <w:tblPrEx>
          <w:tblLook w:val="04A0"/>
        </w:tblPrEx>
        <w:trPr>
          <w:trHeight w:val="340"/>
        </w:trPr>
        <w:tc>
          <w:tcPr>
            <w:tcW w:w="250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  <w:bookmarkStart w:id="0" w:name="_GoBack"/>
            <w:bookmarkEnd w:id="0"/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™ </w:t>
            </w:r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i7-1185G7E</w:t>
            </w:r>
          </w:p>
        </w:tc>
        <w:tc>
          <w:tcPr>
            <w:tcW w:w="283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4/8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2.8/1.8/1.2 (4.4)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-</w:t>
            </w:r>
          </w:p>
        </w:tc>
      </w:tr>
      <w:tr w:rsidR="002C1187" w:rsidRPr="00B414AF" w:rsidTr="002C1187">
        <w:tblPrEx>
          <w:tblLook w:val="04A0"/>
        </w:tblPrEx>
        <w:trPr>
          <w:trHeight w:val="340"/>
        </w:trPr>
        <w:tc>
          <w:tcPr>
            <w:tcW w:w="250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™ </w:t>
            </w:r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i7-1185GRE</w:t>
            </w:r>
          </w:p>
        </w:tc>
        <w:tc>
          <w:tcPr>
            <w:tcW w:w="283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4/8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2.8/1.8/1.2 (4.4)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yes</w:t>
            </w:r>
            <w:proofErr w:type="gramEnd"/>
          </w:p>
        </w:tc>
      </w:tr>
      <w:tr w:rsidR="002C1187" w:rsidRPr="00B414AF" w:rsidTr="002C1187">
        <w:tblPrEx>
          <w:tblLook w:val="04A0"/>
        </w:tblPrEx>
        <w:trPr>
          <w:trHeight w:val="340"/>
        </w:trPr>
        <w:tc>
          <w:tcPr>
            <w:tcW w:w="250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™ i5-1145G7E</w:t>
            </w:r>
          </w:p>
        </w:tc>
        <w:tc>
          <w:tcPr>
            <w:tcW w:w="283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2.6/1.5/1.1 (4.1)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-</w:t>
            </w:r>
          </w:p>
        </w:tc>
      </w:tr>
      <w:tr w:rsidR="002C1187" w:rsidRPr="00B414AF" w:rsidTr="002C1187">
        <w:tblPrEx>
          <w:tblLook w:val="04A0"/>
        </w:tblPrEx>
        <w:trPr>
          <w:trHeight w:val="340"/>
        </w:trPr>
        <w:tc>
          <w:tcPr>
            <w:tcW w:w="250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™ i5-1145GRE</w:t>
            </w:r>
          </w:p>
        </w:tc>
        <w:tc>
          <w:tcPr>
            <w:tcW w:w="283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2.6/1.5/1.1 (4.1)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proofErr w:type="gramStart"/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yes</w:t>
            </w:r>
            <w:proofErr w:type="gramEnd"/>
          </w:p>
        </w:tc>
      </w:tr>
      <w:tr w:rsidR="002C1187" w:rsidRPr="00B414AF" w:rsidTr="002C1187">
        <w:tblPrEx>
          <w:tblLook w:val="04A0"/>
        </w:tblPrEx>
        <w:trPr>
          <w:trHeight w:val="340"/>
        </w:trPr>
        <w:tc>
          <w:tcPr>
            <w:tcW w:w="250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™ i3-1115G4E</w:t>
            </w:r>
          </w:p>
        </w:tc>
        <w:tc>
          <w:tcPr>
            <w:tcW w:w="283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3.0/2.2/1.7 (3.9)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-</w:t>
            </w:r>
          </w:p>
        </w:tc>
      </w:tr>
      <w:tr w:rsidR="002C1187" w:rsidRPr="00B414AF" w:rsidTr="002C1187">
        <w:tblPrEx>
          <w:tblLook w:val="04A0"/>
        </w:tblPrEx>
        <w:trPr>
          <w:trHeight w:val="340"/>
        </w:trPr>
        <w:tc>
          <w:tcPr>
            <w:tcW w:w="250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™ i3-1115GRE</w:t>
            </w:r>
          </w:p>
        </w:tc>
        <w:tc>
          <w:tcPr>
            <w:tcW w:w="283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3.0/2.2/1.7 (3.9)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proofErr w:type="gramStart"/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yes</w:t>
            </w:r>
            <w:proofErr w:type="gramEnd"/>
          </w:p>
        </w:tc>
      </w:tr>
      <w:tr w:rsidR="002C1187" w:rsidRPr="00B414AF" w:rsidTr="002C1187">
        <w:tblPrEx>
          <w:tblLook w:val="04A0"/>
        </w:tblPrEx>
        <w:trPr>
          <w:trHeight w:val="340"/>
        </w:trPr>
        <w:tc>
          <w:tcPr>
            <w:tcW w:w="250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Celeron</w:t>
            </w:r>
            <w:proofErr w:type="spellEnd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6305E</w:t>
            </w:r>
          </w:p>
        </w:tc>
        <w:tc>
          <w:tcPr>
            <w:tcW w:w="283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2/2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1.8 (n/</w:t>
            </w:r>
            <w:proofErr w:type="gramStart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a</w:t>
            </w:r>
            <w:proofErr w:type="gramEnd"/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)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276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B414A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187" w:rsidRPr="00B414AF" w:rsidRDefault="002C1187" w:rsidP="008932AE">
            <w:pPr>
              <w:spacing w:line="360" w:lineRule="auto"/>
              <w:ind w:right="-2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B414AF">
              <w:rPr>
                <w:rFonts w:ascii="Arial" w:hAnsi="Arial" w:cs="Arial"/>
                <w:sz w:val="18"/>
                <w:szCs w:val="18"/>
                <w:lang w:val="it-IT"/>
              </w:rPr>
              <w:t>yes</w:t>
            </w:r>
            <w:proofErr w:type="gramEnd"/>
          </w:p>
        </w:tc>
      </w:tr>
    </w:tbl>
    <w:p w:rsidR="002C1187" w:rsidRPr="00B414AF" w:rsidRDefault="002C1187" w:rsidP="002C1187">
      <w:pPr>
        <w:spacing w:line="360" w:lineRule="auto"/>
        <w:ind w:right="-2"/>
        <w:rPr>
          <w:rFonts w:ascii="Arial" w:hAnsi="Arial" w:cs="Arial"/>
          <w:sz w:val="22"/>
          <w:szCs w:val="22"/>
          <w:lang w:val="en-US"/>
        </w:rPr>
      </w:pPr>
    </w:p>
    <w:p w:rsidR="007360EC" w:rsidRPr="00B414AF" w:rsidRDefault="007360EC" w:rsidP="007360EC">
      <w:pPr>
        <w:spacing w:line="360" w:lineRule="auto"/>
        <w:ind w:right="-2"/>
        <w:rPr>
          <w:rFonts w:ascii="Arial" w:hAnsi="Arial" w:cs="Arial"/>
          <w:lang w:val="it-IT"/>
        </w:rPr>
      </w:pPr>
      <w:r w:rsidRPr="00B414AF">
        <w:rPr>
          <w:rFonts w:ascii="Arial" w:hAnsi="Arial" w:cs="Arial"/>
          <w:sz w:val="22"/>
          <w:szCs w:val="22"/>
          <w:lang w:val="it-IT"/>
        </w:rPr>
        <w:t xml:space="preserve">La pagina di prodotto </w:t>
      </w:r>
      <w:proofErr w:type="gramStart"/>
      <w:r w:rsidRPr="00B414AF">
        <w:rPr>
          <w:rFonts w:ascii="Arial" w:hAnsi="Arial" w:cs="Arial"/>
          <w:sz w:val="22"/>
          <w:szCs w:val="22"/>
          <w:lang w:val="it-IT"/>
        </w:rPr>
        <w:t>relativa a</w:t>
      </w:r>
      <w:proofErr w:type="gramEnd"/>
      <w:r w:rsidRPr="00B414AF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conga-HPC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>/</w:t>
      </w:r>
      <w:proofErr w:type="spellStart"/>
      <w:r w:rsidRPr="00B414AF">
        <w:rPr>
          <w:rFonts w:ascii="Arial" w:hAnsi="Arial" w:cs="Arial"/>
          <w:sz w:val="22"/>
          <w:szCs w:val="22"/>
          <w:lang w:val="it-IT"/>
        </w:rPr>
        <w:t>cTLU</w:t>
      </w:r>
      <w:proofErr w:type="spellEnd"/>
      <w:r w:rsidRPr="00B414AF">
        <w:rPr>
          <w:rFonts w:ascii="Arial" w:hAnsi="Arial" w:cs="Arial"/>
          <w:sz w:val="22"/>
          <w:szCs w:val="22"/>
          <w:lang w:val="it-IT"/>
        </w:rPr>
        <w:t xml:space="preserve"> è disponibile all’indirizzo: </w:t>
      </w:r>
    </w:p>
    <w:p w:rsidR="007360EC" w:rsidRDefault="0091050B" w:rsidP="007360EC">
      <w:pPr>
        <w:spacing w:line="360" w:lineRule="auto"/>
        <w:ind w:right="-2"/>
        <w:rPr>
          <w:rFonts w:ascii="Arial" w:hAnsi="Arial" w:cs="Arial"/>
          <w:lang w:val="it-IT"/>
        </w:rPr>
      </w:pPr>
      <w:hyperlink r:id="rId11" w:history="1">
        <w:r w:rsidRPr="000E78A9">
          <w:rPr>
            <w:rStyle w:val="Hyperlink"/>
            <w:rFonts w:ascii="Arial" w:hAnsi="Arial" w:cs="Arial"/>
            <w:lang w:val="it-IT"/>
          </w:rPr>
          <w:t>https://www.congatec.com/it/prodotti/com-hpc/conga-hpcctlu/</w:t>
        </w:r>
      </w:hyperlink>
    </w:p>
    <w:p w:rsidR="0091050B" w:rsidRPr="00B414AF" w:rsidRDefault="0091050B" w:rsidP="007360EC">
      <w:pPr>
        <w:spacing w:line="360" w:lineRule="auto"/>
        <w:ind w:right="-2"/>
        <w:rPr>
          <w:rFonts w:ascii="Arial" w:hAnsi="Arial" w:cs="Arial"/>
          <w:sz w:val="22"/>
          <w:szCs w:val="22"/>
          <w:lang w:val="it-IT"/>
        </w:rPr>
      </w:pPr>
    </w:p>
    <w:p w:rsidR="007360EC" w:rsidRPr="00B414AF" w:rsidRDefault="007360EC" w:rsidP="007360EC">
      <w:pPr>
        <w:spacing w:line="360" w:lineRule="auto"/>
        <w:ind w:right="-2"/>
        <w:rPr>
          <w:rFonts w:ascii="Arial" w:hAnsi="Arial" w:cs="Arial"/>
          <w:sz w:val="18"/>
          <w:szCs w:val="18"/>
          <w:lang w:val="it-IT"/>
        </w:rPr>
      </w:pPr>
      <w:r w:rsidRPr="00B414AF">
        <w:rPr>
          <w:rFonts w:ascii="Arial" w:hAnsi="Arial" w:cs="Arial"/>
          <w:sz w:val="22"/>
          <w:szCs w:val="22"/>
          <w:lang w:val="it-IT"/>
        </w:rPr>
        <w:t xml:space="preserve">Ulteriori informazioni sullo standard COM-HPC e il relativo ecosistema sono reperibili all’indirizzo: </w:t>
      </w:r>
      <w:hyperlink r:id="rId12" w:history="1">
        <w:r w:rsidRPr="00B414AF">
          <w:rPr>
            <w:rStyle w:val="Hyperlink"/>
            <w:rFonts w:ascii="Arial" w:hAnsi="Arial" w:cs="Arial"/>
            <w:sz w:val="22"/>
            <w:szCs w:val="22"/>
            <w:lang w:val="it-IT"/>
          </w:rPr>
          <w:t>https://www.congatec.com/com-hpc</w:t>
        </w:r>
      </w:hyperlink>
    </w:p>
    <w:p w:rsidR="00D108AC" w:rsidRPr="00B414AF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it-IT"/>
        </w:rPr>
      </w:pPr>
    </w:p>
    <w:p w:rsidR="00E8543B" w:rsidRPr="00B414AF" w:rsidRDefault="00E8543B" w:rsidP="00E8543B">
      <w:pPr>
        <w:spacing w:line="100" w:lineRule="atLeast"/>
        <w:rPr>
          <w:rFonts w:ascii="Arial" w:eastAsia="Arial" w:hAnsi="Arial" w:cs="Arial"/>
          <w:sz w:val="16"/>
          <w:szCs w:val="16"/>
          <w:lang w:val="it-IT"/>
        </w:rPr>
      </w:pPr>
      <w:r w:rsidRPr="00B414AF">
        <w:rPr>
          <w:rFonts w:ascii="Arial" w:eastAsia="Arial" w:hAnsi="Arial" w:cs="Arial"/>
          <w:b/>
          <w:bCs/>
          <w:color w:val="000000"/>
          <w:kern w:val="0"/>
          <w:sz w:val="16"/>
          <w:szCs w:val="16"/>
          <w:lang w:val="it-IT"/>
        </w:rPr>
        <w:t>Chi è congatec</w:t>
      </w:r>
      <w:r w:rsidRPr="00B414AF">
        <w:rPr>
          <w:rFonts w:ascii="Arial" w:eastAsia="Arial" w:hAnsi="Arial" w:cs="Arial"/>
          <w:color w:val="000000"/>
          <w:kern w:val="0"/>
          <w:sz w:val="16"/>
          <w:szCs w:val="16"/>
          <w:lang w:val="it-IT"/>
        </w:rPr>
        <w:br/>
      </w:r>
      <w:r w:rsidRPr="00B414AF">
        <w:rPr>
          <w:rFonts w:ascii="Arial" w:eastAsia="Arial" w:hAnsi="Arial" w:cs="Arial"/>
          <w:sz w:val="16"/>
          <w:szCs w:val="16"/>
          <w:lang w:val="it-IT"/>
        </w:rPr>
        <w:t xml:space="preserve">Fortemente orientata allo sviluppo tecnologico, congatec è un'azienda specializzata nella progettazione e realizzazione </w:t>
      </w:r>
      <w:proofErr w:type="gramStart"/>
      <w:r w:rsidRPr="00B414AF">
        <w:rPr>
          <w:rFonts w:ascii="Arial" w:eastAsia="Arial" w:hAnsi="Arial" w:cs="Arial"/>
          <w:sz w:val="16"/>
          <w:szCs w:val="16"/>
          <w:lang w:val="it-IT"/>
        </w:rPr>
        <w:t>di</w:t>
      </w:r>
      <w:proofErr w:type="gramEnd"/>
      <w:r w:rsidRPr="00B414AF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proofErr w:type="gramStart"/>
      <w:r w:rsidRPr="00B414AF">
        <w:rPr>
          <w:rFonts w:ascii="Arial" w:eastAsia="Arial" w:hAnsi="Arial" w:cs="Arial"/>
          <w:sz w:val="16"/>
          <w:szCs w:val="16"/>
          <w:lang w:val="it-IT"/>
        </w:rPr>
        <w:t>soluzioni</w:t>
      </w:r>
      <w:proofErr w:type="gramEnd"/>
      <w:r w:rsidRPr="00B414AF">
        <w:rPr>
          <w:rFonts w:ascii="Arial" w:eastAsia="Arial" w:hAnsi="Arial" w:cs="Arial"/>
          <w:sz w:val="16"/>
          <w:szCs w:val="16"/>
          <w:lang w:val="it-IT"/>
        </w:rPr>
        <w:t xml:space="preserve"> per i settori dell'elaborazione embedded ed dell'</w:t>
      </w:r>
      <w:proofErr w:type="spellStart"/>
      <w:r w:rsidRPr="00B414AF">
        <w:rPr>
          <w:rFonts w:ascii="Arial" w:eastAsia="Arial" w:hAnsi="Arial" w:cs="Arial"/>
          <w:sz w:val="16"/>
          <w:szCs w:val="16"/>
          <w:lang w:val="it-IT"/>
        </w:rPr>
        <w:t>edge</w:t>
      </w:r>
      <w:proofErr w:type="spellEnd"/>
      <w:r w:rsidRPr="00B414AF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proofErr w:type="spellStart"/>
      <w:r w:rsidRPr="00B414AF">
        <w:rPr>
          <w:rFonts w:ascii="Arial" w:eastAsia="Arial" w:hAnsi="Arial" w:cs="Arial"/>
          <w:sz w:val="16"/>
          <w:szCs w:val="16"/>
          <w:lang w:val="it-IT"/>
        </w:rPr>
        <w:t>computing</w:t>
      </w:r>
      <w:proofErr w:type="spellEnd"/>
      <w:r w:rsidRPr="00B414AF">
        <w:rPr>
          <w:rFonts w:ascii="Arial" w:eastAsia="Arial" w:hAnsi="Arial" w:cs="Arial"/>
          <w:sz w:val="16"/>
          <w:szCs w:val="16"/>
          <w:lang w:val="it-IT"/>
        </w:rPr>
        <w:t xml:space="preserve">. I moduli di elaborazione a elevate prestazioni della società sono utilizzati in una vasta gamma di dispositivi e applicazioni destinati ai settori dell'automazione industriale, della tecnologia </w:t>
      </w:r>
      <w:proofErr w:type="gramStart"/>
      <w:r w:rsidRPr="00B414AF">
        <w:rPr>
          <w:rFonts w:ascii="Arial" w:eastAsia="Arial" w:hAnsi="Arial" w:cs="Arial"/>
          <w:sz w:val="16"/>
          <w:szCs w:val="16"/>
          <w:lang w:val="it-IT"/>
        </w:rPr>
        <w:t>medicale</w:t>
      </w:r>
      <w:proofErr w:type="gramEnd"/>
      <w:r w:rsidRPr="00B414AF">
        <w:rPr>
          <w:rFonts w:ascii="Arial" w:eastAsia="Arial" w:hAnsi="Arial" w:cs="Arial"/>
          <w:sz w:val="16"/>
          <w:szCs w:val="16"/>
          <w:lang w:val="it-IT"/>
        </w:rPr>
        <w:t xml:space="preserve">, dei trasporti e delle telecomunicazioni, oltre che in numerosi altri mercati verticali. Supportata da DBAG </w:t>
      </w:r>
      <w:proofErr w:type="spellStart"/>
      <w:r w:rsidRPr="00B414AF">
        <w:rPr>
          <w:rFonts w:ascii="Arial" w:eastAsia="Arial" w:hAnsi="Arial" w:cs="Arial"/>
          <w:sz w:val="16"/>
          <w:szCs w:val="16"/>
          <w:lang w:val="it-IT"/>
        </w:rPr>
        <w:t>Fund</w:t>
      </w:r>
      <w:proofErr w:type="spellEnd"/>
      <w:r w:rsidRPr="00B414AF">
        <w:rPr>
          <w:rFonts w:ascii="Arial" w:eastAsia="Arial" w:hAnsi="Arial" w:cs="Arial"/>
          <w:sz w:val="16"/>
          <w:szCs w:val="16"/>
          <w:lang w:val="it-IT"/>
        </w:rPr>
        <w:t xml:space="preserve"> VIII, fondo tedesco specializzato nel sostegno </w:t>
      </w:r>
      <w:proofErr w:type="gramStart"/>
      <w:r w:rsidRPr="00B414AF">
        <w:rPr>
          <w:rFonts w:ascii="Arial" w:eastAsia="Arial" w:hAnsi="Arial" w:cs="Arial"/>
          <w:sz w:val="16"/>
          <w:szCs w:val="16"/>
          <w:lang w:val="it-IT"/>
        </w:rPr>
        <w:t xml:space="preserve">di </w:t>
      </w:r>
      <w:proofErr w:type="gramEnd"/>
      <w:r w:rsidRPr="00B414AF">
        <w:rPr>
          <w:rFonts w:ascii="Arial" w:eastAsia="Arial" w:hAnsi="Arial" w:cs="Arial"/>
          <w:sz w:val="16"/>
          <w:szCs w:val="16"/>
          <w:lang w:val="it-IT"/>
        </w:rPr>
        <w:t xml:space="preserve">imprese di medie dimensioni che operano in settori industriali ad alto tasso di crescita, che opera in qualità di azionista di riferimento, congatec ha la solidità finanziaria e l'esperienza nelle operazioni di </w:t>
      </w:r>
      <w:proofErr w:type="spellStart"/>
      <w:r w:rsidRPr="00B414AF">
        <w:rPr>
          <w:rFonts w:ascii="Arial" w:eastAsia="Arial" w:hAnsi="Arial" w:cs="Arial"/>
          <w:sz w:val="16"/>
          <w:szCs w:val="16"/>
          <w:lang w:val="it-IT"/>
        </w:rPr>
        <w:t>M&amp;A</w:t>
      </w:r>
      <w:proofErr w:type="spellEnd"/>
      <w:r w:rsidRPr="00B414AF">
        <w:rPr>
          <w:rFonts w:ascii="Arial" w:eastAsia="Arial" w:hAnsi="Arial" w:cs="Arial"/>
          <w:sz w:val="16"/>
          <w:szCs w:val="16"/>
          <w:lang w:val="it-IT"/>
        </w:rPr>
        <w:t xml:space="preserve"> necessarie per sfruttare al meglio le opportunità che si prospettano in questi mercati in rapida espansione. </w:t>
      </w:r>
    </w:p>
    <w:p w:rsidR="00E8543B" w:rsidRPr="00B414AF" w:rsidRDefault="00E8543B" w:rsidP="00E8543B">
      <w:pPr>
        <w:spacing w:line="100" w:lineRule="atLeast"/>
        <w:rPr>
          <w:rFonts w:ascii="Arial" w:hAnsi="Arial" w:cs="Arial"/>
          <w:sz w:val="16"/>
          <w:szCs w:val="16"/>
          <w:lang w:val="it-IT"/>
        </w:rPr>
      </w:pPr>
      <w:proofErr w:type="gramStart"/>
      <w:r w:rsidRPr="00B414AF">
        <w:rPr>
          <w:rFonts w:ascii="Arial" w:eastAsia="Arial" w:hAnsi="Arial" w:cs="Arial"/>
          <w:sz w:val="16"/>
          <w:szCs w:val="16"/>
          <w:lang w:val="it-IT"/>
        </w:rPr>
        <w:t>congatec</w:t>
      </w:r>
      <w:proofErr w:type="gramEnd"/>
      <w:r w:rsidRPr="00B414AF">
        <w:rPr>
          <w:rFonts w:ascii="Arial" w:eastAsia="Arial" w:hAnsi="Arial" w:cs="Arial"/>
          <w:sz w:val="16"/>
          <w:szCs w:val="16"/>
          <w:lang w:val="it-IT"/>
        </w:rPr>
        <w:t xml:space="preserve"> è l'azienda leader a livello globale nel comparto dei moduli COM (</w:t>
      </w:r>
      <w:proofErr w:type="spellStart"/>
      <w:r w:rsidRPr="00B414AF">
        <w:rPr>
          <w:rFonts w:ascii="Arial" w:eastAsia="Arial" w:hAnsi="Arial" w:cs="Arial"/>
          <w:sz w:val="16"/>
          <w:szCs w:val="16"/>
          <w:lang w:val="it-IT"/>
        </w:rPr>
        <w:t>Computer-on-Module</w:t>
      </w:r>
      <w:proofErr w:type="spellEnd"/>
      <w:r w:rsidRPr="00B414AF">
        <w:rPr>
          <w:rFonts w:ascii="Arial" w:eastAsia="Arial" w:hAnsi="Arial" w:cs="Arial"/>
          <w:sz w:val="16"/>
          <w:szCs w:val="16"/>
          <w:lang w:val="it-IT"/>
        </w:rPr>
        <w:t xml:space="preserve">) è può vantare una base di clienti ampia e diversificata, che spazia dalle start-up alle più importanti realtà multinazionali. Fondata nel 2004, congatec ha il proprio quartier generale a </w:t>
      </w:r>
      <w:proofErr w:type="spellStart"/>
      <w:r w:rsidRPr="00B414AF">
        <w:rPr>
          <w:rFonts w:ascii="Arial" w:eastAsia="Arial" w:hAnsi="Arial" w:cs="Arial"/>
          <w:sz w:val="16"/>
          <w:szCs w:val="16"/>
          <w:lang w:val="it-IT"/>
        </w:rPr>
        <w:t>Deggendorf</w:t>
      </w:r>
      <w:proofErr w:type="spellEnd"/>
      <w:r w:rsidRPr="00B414AF">
        <w:rPr>
          <w:rFonts w:ascii="Arial" w:eastAsia="Arial" w:hAnsi="Arial" w:cs="Arial"/>
          <w:sz w:val="16"/>
          <w:szCs w:val="16"/>
          <w:lang w:val="it-IT"/>
        </w:rPr>
        <w:t>, Germania e ha fatto registrare nel 2019 un fatturato pari a 126 milioni di dollari. U</w:t>
      </w:r>
      <w:r w:rsidRPr="00B414AF">
        <w:rPr>
          <w:rFonts w:ascii="Arial" w:eastAsia="Arial" w:hAnsi="Arial" w:cs="Arial"/>
          <w:color w:val="000000"/>
          <w:kern w:val="0"/>
          <w:sz w:val="16"/>
          <w:szCs w:val="16"/>
          <w:lang w:val="it-IT"/>
        </w:rPr>
        <w:t xml:space="preserve">lteriori informazioni sono disponibili sul nostro sito web </w:t>
      </w:r>
      <w:hyperlink r:id="rId13" w:anchor="_blank" w:history="1">
        <w:r w:rsidRPr="00B414AF">
          <w:rPr>
            <w:rStyle w:val="Hyperlink"/>
            <w:rFonts w:ascii="Arial" w:eastAsia="Arial" w:hAnsi="Arial" w:cs="Arial"/>
            <w:color w:val="0000CC"/>
            <w:kern w:val="0"/>
            <w:sz w:val="16"/>
            <w:szCs w:val="16"/>
            <w:lang w:val="it-IT"/>
          </w:rPr>
          <w:t>www.congatec.com</w:t>
        </w:r>
      </w:hyperlink>
      <w:r w:rsidRPr="00B414AF">
        <w:rPr>
          <w:rFonts w:ascii="Arial" w:hAnsi="Arial" w:cs="Arial"/>
          <w:sz w:val="16"/>
          <w:szCs w:val="16"/>
          <w:lang w:val="it-IT"/>
        </w:rPr>
        <w:t xml:space="preserve"> oppure attraverso </w:t>
      </w:r>
      <w:hyperlink r:id="rId14" w:history="1">
        <w:r w:rsidRPr="00B414AF">
          <w:rPr>
            <w:rStyle w:val="Hyperlink"/>
            <w:rFonts w:ascii="Arial" w:eastAsia="Arial" w:hAnsi="Arial" w:cs="Arial"/>
            <w:sz w:val="16"/>
            <w:szCs w:val="16"/>
            <w:lang w:val="it-IT"/>
          </w:rPr>
          <w:t>LinkedIn</w:t>
        </w:r>
      </w:hyperlink>
      <w:r w:rsidRPr="00B414AF">
        <w:rPr>
          <w:rFonts w:ascii="Arial" w:hAnsi="Arial" w:cs="Arial"/>
          <w:sz w:val="16"/>
          <w:szCs w:val="16"/>
          <w:lang w:val="it-IT"/>
        </w:rPr>
        <w:t xml:space="preserve">, </w:t>
      </w:r>
      <w:hyperlink r:id="rId15" w:anchor="_blank" w:history="1">
        <w:r w:rsidRPr="00B414AF">
          <w:rPr>
            <w:rStyle w:val="Hyperlink"/>
            <w:rFonts w:ascii="Arial" w:eastAsia="Arial" w:hAnsi="Arial" w:cs="Arial"/>
            <w:color w:val="0000CC"/>
            <w:kern w:val="0"/>
            <w:sz w:val="16"/>
            <w:szCs w:val="16"/>
            <w:lang w:val="it-IT"/>
          </w:rPr>
          <w:t>Twitter</w:t>
        </w:r>
      </w:hyperlink>
      <w:r w:rsidRPr="00B414AF">
        <w:rPr>
          <w:rFonts w:ascii="Arial" w:hAnsi="Arial" w:cs="Arial"/>
          <w:sz w:val="16"/>
          <w:szCs w:val="16"/>
          <w:lang w:val="it-IT"/>
        </w:rPr>
        <w:t xml:space="preserve"> e </w:t>
      </w:r>
      <w:hyperlink r:id="rId16" w:anchor="_blank" w:history="1">
        <w:proofErr w:type="spellStart"/>
        <w:r w:rsidRPr="00B414AF">
          <w:rPr>
            <w:rStyle w:val="Hyperlink"/>
            <w:rFonts w:ascii="Arial" w:eastAsia="Arial" w:hAnsi="Arial" w:cs="Arial"/>
            <w:color w:val="0000CC"/>
            <w:kern w:val="0"/>
            <w:sz w:val="16"/>
            <w:szCs w:val="16"/>
            <w:lang w:val="it-IT"/>
          </w:rPr>
          <w:t>YouTube</w:t>
        </w:r>
        <w:proofErr w:type="spellEnd"/>
      </w:hyperlink>
      <w:r w:rsidRPr="00B414AF">
        <w:rPr>
          <w:rFonts w:ascii="Arial" w:hAnsi="Arial" w:cs="Arial"/>
          <w:sz w:val="16"/>
          <w:szCs w:val="16"/>
          <w:lang w:val="it-IT"/>
        </w:rPr>
        <w:t>.</w:t>
      </w:r>
    </w:p>
    <w:p w:rsidR="00E8543B" w:rsidRPr="00B414AF" w:rsidRDefault="00E8543B" w:rsidP="00E8543B">
      <w:pPr>
        <w:spacing w:line="100" w:lineRule="atLeast"/>
        <w:rPr>
          <w:rFonts w:ascii="Arial" w:hAnsi="Arial" w:cs="Arial"/>
          <w:sz w:val="16"/>
          <w:szCs w:val="16"/>
          <w:lang w:val="it-IT"/>
        </w:rPr>
      </w:pPr>
    </w:p>
    <w:p w:rsidR="00326537" w:rsidRPr="00B414AF" w:rsidRDefault="004D6DD5" w:rsidP="00326537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6"/>
          <w:szCs w:val="16"/>
          <w:lang w:val="it-IT"/>
        </w:rPr>
      </w:pPr>
      <w:r w:rsidRPr="00B414AF">
        <w:rPr>
          <w:rFonts w:ascii="Arial" w:hAnsi="Arial" w:cs="Arial"/>
          <w:sz w:val="16"/>
          <w:szCs w:val="16"/>
          <w:lang w:val="it-IT"/>
        </w:rPr>
        <w:t>*</w:t>
      </w:r>
      <w:r w:rsidR="00931997" w:rsidRPr="00B414AF">
        <w:rPr>
          <w:rFonts w:ascii="Arial" w:hAnsi="Arial" w:cs="Arial"/>
          <w:sz w:val="16"/>
          <w:szCs w:val="16"/>
          <w:lang w:val="it-IT"/>
        </w:rPr>
        <w:t xml:space="preserve"> </w:t>
      </w:r>
      <w:r w:rsidRPr="00B414AF">
        <w:rPr>
          <w:rFonts w:ascii="Arial" w:hAnsi="Arial" w:cs="Arial"/>
          <w:sz w:val="16"/>
          <w:szCs w:val="16"/>
          <w:lang w:val="it-IT"/>
        </w:rPr>
        <w:t>*</w:t>
      </w:r>
      <w:r w:rsidR="00931997" w:rsidRPr="00B414AF">
        <w:rPr>
          <w:rFonts w:ascii="Arial" w:hAnsi="Arial" w:cs="Arial"/>
          <w:sz w:val="16"/>
          <w:szCs w:val="16"/>
          <w:lang w:val="it-IT"/>
        </w:rPr>
        <w:t xml:space="preserve"> </w:t>
      </w:r>
      <w:r w:rsidRPr="00B414AF">
        <w:rPr>
          <w:rFonts w:ascii="Arial" w:hAnsi="Arial" w:cs="Arial"/>
          <w:sz w:val="16"/>
          <w:szCs w:val="16"/>
          <w:lang w:val="it-IT"/>
        </w:rPr>
        <w:t>*</w:t>
      </w:r>
      <w:r w:rsidR="00931997" w:rsidRPr="00B414AF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</w:p>
    <w:p w:rsidR="00326537" w:rsidRPr="00B414AF" w:rsidRDefault="00326537" w:rsidP="00326537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6"/>
          <w:szCs w:val="16"/>
          <w:lang w:val="it-IT"/>
        </w:rPr>
      </w:pPr>
    </w:p>
    <w:p w:rsidR="00326537" w:rsidRPr="00B414AF" w:rsidRDefault="00326537" w:rsidP="00326537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6"/>
          <w:szCs w:val="16"/>
          <w:lang w:val="it-IT"/>
        </w:rPr>
      </w:pPr>
    </w:p>
    <w:p w:rsidR="00326537" w:rsidRPr="00B414AF" w:rsidRDefault="00CC771F" w:rsidP="00326537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6"/>
          <w:szCs w:val="16"/>
          <w:lang w:val="it-IT"/>
        </w:rPr>
      </w:pPr>
      <w:r w:rsidRPr="00243545">
        <w:rPr>
          <w:rFonts w:ascii="Arial" w:hAnsi="Arial" w:cs="Arial"/>
          <w:i/>
          <w:iCs/>
          <w:sz w:val="16"/>
          <w:szCs w:val="16"/>
          <w:lang w:val="it-IT"/>
        </w:rPr>
        <w:t xml:space="preserve">Intel, </w:t>
      </w:r>
      <w:proofErr w:type="spellStart"/>
      <w:r w:rsidRPr="00243545">
        <w:rPr>
          <w:rFonts w:ascii="Arial" w:hAnsi="Arial" w:cs="Arial"/>
          <w:i/>
          <w:iCs/>
          <w:sz w:val="16"/>
          <w:szCs w:val="16"/>
          <w:lang w:val="it-IT"/>
        </w:rPr>
        <w:t>Celeron</w:t>
      </w:r>
      <w:proofErr w:type="spellEnd"/>
      <w:r w:rsidRPr="00243545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proofErr w:type="spellStart"/>
      <w:r w:rsidRPr="00243545">
        <w:rPr>
          <w:rFonts w:ascii="Arial" w:hAnsi="Arial" w:cs="Arial"/>
          <w:i/>
          <w:iCs/>
          <w:sz w:val="16"/>
          <w:szCs w:val="16"/>
          <w:lang w:val="it-IT"/>
        </w:rPr>
        <w:t>et</w:t>
      </w:r>
      <w:proofErr w:type="spellEnd"/>
      <w:r w:rsidR="00243545" w:rsidRPr="00243545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proofErr w:type="spellStart"/>
      <w:r w:rsidRPr="00243545">
        <w:rPr>
          <w:rFonts w:ascii="Arial" w:hAnsi="Arial" w:cs="Arial"/>
          <w:i/>
          <w:iCs/>
          <w:sz w:val="16"/>
          <w:szCs w:val="16"/>
          <w:lang w:val="it-IT"/>
        </w:rPr>
        <w:t>Core</w:t>
      </w:r>
      <w:proofErr w:type="spellEnd"/>
      <w:r w:rsidRPr="00243545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r w:rsidR="00326537" w:rsidRPr="00B414AF">
        <w:rPr>
          <w:rFonts w:ascii="Arial" w:hAnsi="Arial" w:cs="Arial"/>
          <w:i/>
          <w:iCs/>
          <w:sz w:val="16"/>
          <w:szCs w:val="16"/>
          <w:lang w:val="it-IT"/>
        </w:rPr>
        <w:t>sono</w:t>
      </w:r>
      <w:r w:rsidR="00931997" w:rsidRPr="00B414AF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r w:rsidR="00326537" w:rsidRPr="00B414AF">
        <w:rPr>
          <w:rFonts w:ascii="Arial" w:hAnsi="Arial" w:cs="Arial"/>
          <w:i/>
          <w:iCs/>
          <w:sz w:val="16"/>
          <w:szCs w:val="16"/>
          <w:lang w:val="it-IT"/>
        </w:rPr>
        <w:t>marchi</w:t>
      </w:r>
      <w:r w:rsidR="00931997" w:rsidRPr="00B414AF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r w:rsidR="00326537" w:rsidRPr="00B414AF">
        <w:rPr>
          <w:rFonts w:ascii="Arial" w:hAnsi="Arial" w:cs="Arial"/>
          <w:i/>
          <w:iCs/>
          <w:sz w:val="16"/>
          <w:szCs w:val="16"/>
          <w:lang w:val="it-IT"/>
        </w:rPr>
        <w:t>registrati</w:t>
      </w:r>
      <w:r w:rsidR="00931997" w:rsidRPr="00B414AF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r w:rsidR="00326537" w:rsidRPr="00B414AF">
        <w:rPr>
          <w:rFonts w:ascii="Arial" w:hAnsi="Arial" w:cs="Arial"/>
          <w:i/>
          <w:iCs/>
          <w:sz w:val="16"/>
          <w:szCs w:val="16"/>
          <w:lang w:val="it-IT"/>
        </w:rPr>
        <w:t>di</w:t>
      </w:r>
      <w:r w:rsidR="00931997" w:rsidRPr="00B414AF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r w:rsidR="00326537" w:rsidRPr="00B414AF">
        <w:rPr>
          <w:rFonts w:ascii="Arial" w:hAnsi="Arial" w:cs="Arial"/>
          <w:i/>
          <w:iCs/>
          <w:sz w:val="16"/>
          <w:szCs w:val="16"/>
          <w:lang w:val="it-IT"/>
        </w:rPr>
        <w:t>Intel</w:t>
      </w:r>
      <w:r w:rsidR="00931997" w:rsidRPr="00B414AF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r w:rsidR="00326537" w:rsidRPr="00B414AF">
        <w:rPr>
          <w:rFonts w:ascii="Arial" w:hAnsi="Arial" w:cs="Arial"/>
          <w:i/>
          <w:iCs/>
          <w:sz w:val="16"/>
          <w:szCs w:val="16"/>
          <w:lang w:val="it-IT"/>
        </w:rPr>
        <w:t>Corporation</w:t>
      </w:r>
      <w:r w:rsidR="00931997" w:rsidRPr="00B414AF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r w:rsidR="00326537" w:rsidRPr="00B414AF">
        <w:rPr>
          <w:rFonts w:ascii="Arial" w:hAnsi="Arial" w:cs="Arial"/>
          <w:i/>
          <w:iCs/>
          <w:sz w:val="16"/>
          <w:szCs w:val="16"/>
          <w:lang w:val="it-IT"/>
        </w:rPr>
        <w:t>negli</w:t>
      </w:r>
      <w:r w:rsidR="00931997" w:rsidRPr="00B414AF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r w:rsidR="00326537" w:rsidRPr="00B414AF">
        <w:rPr>
          <w:rFonts w:ascii="Arial" w:hAnsi="Arial" w:cs="Arial"/>
          <w:i/>
          <w:iCs/>
          <w:sz w:val="16"/>
          <w:szCs w:val="16"/>
          <w:lang w:val="it-IT"/>
        </w:rPr>
        <w:t>Stati</w:t>
      </w:r>
      <w:r w:rsidR="00931997" w:rsidRPr="00B414AF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r w:rsidR="00326537" w:rsidRPr="00B414AF">
        <w:rPr>
          <w:rFonts w:ascii="Arial" w:hAnsi="Arial" w:cs="Arial"/>
          <w:i/>
          <w:iCs/>
          <w:sz w:val="16"/>
          <w:szCs w:val="16"/>
          <w:lang w:val="it-IT"/>
        </w:rPr>
        <w:t>Uniti</w:t>
      </w:r>
      <w:r w:rsidR="00931997" w:rsidRPr="00B414AF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r w:rsidR="00326537" w:rsidRPr="00B414AF">
        <w:rPr>
          <w:rFonts w:ascii="Arial" w:hAnsi="Arial" w:cs="Arial"/>
          <w:i/>
          <w:iCs/>
          <w:sz w:val="16"/>
          <w:szCs w:val="16"/>
          <w:lang w:val="it-IT"/>
        </w:rPr>
        <w:t>e</w:t>
      </w:r>
      <w:r w:rsidR="00931997" w:rsidRPr="00B414AF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r w:rsidR="00326537" w:rsidRPr="00B414AF">
        <w:rPr>
          <w:rFonts w:ascii="Arial" w:hAnsi="Arial" w:cs="Arial"/>
          <w:i/>
          <w:iCs/>
          <w:sz w:val="16"/>
          <w:szCs w:val="16"/>
          <w:lang w:val="it-IT"/>
        </w:rPr>
        <w:t>in</w:t>
      </w:r>
      <w:r w:rsidR="00931997" w:rsidRPr="00B414AF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r w:rsidR="00326537" w:rsidRPr="00B414AF">
        <w:rPr>
          <w:rFonts w:ascii="Arial" w:hAnsi="Arial" w:cs="Arial"/>
          <w:i/>
          <w:iCs/>
          <w:sz w:val="16"/>
          <w:szCs w:val="16"/>
          <w:lang w:val="it-IT"/>
        </w:rPr>
        <w:t>altri</w:t>
      </w:r>
      <w:r w:rsidR="00931997" w:rsidRPr="00B414AF">
        <w:rPr>
          <w:rFonts w:ascii="Arial" w:hAnsi="Arial" w:cs="Arial"/>
          <w:i/>
          <w:iCs/>
          <w:sz w:val="16"/>
          <w:szCs w:val="16"/>
          <w:lang w:val="it-IT"/>
        </w:rPr>
        <w:t xml:space="preserve"> </w:t>
      </w:r>
      <w:r w:rsidR="00326537" w:rsidRPr="00B414AF">
        <w:rPr>
          <w:rFonts w:ascii="Arial" w:hAnsi="Arial" w:cs="Arial"/>
          <w:i/>
          <w:iCs/>
          <w:sz w:val="16"/>
          <w:szCs w:val="16"/>
          <w:lang w:val="it-IT"/>
        </w:rPr>
        <w:t>Paesi.</w:t>
      </w:r>
    </w:p>
    <w:p w:rsidR="00D108AC" w:rsidRPr="00B414AF" w:rsidRDefault="00D108AC" w:rsidP="005350F1">
      <w:pPr>
        <w:pStyle w:val="Standard1"/>
        <w:ind w:right="283"/>
        <w:rPr>
          <w:rFonts w:ascii="Arial" w:hAnsi="Arial" w:cs="Arial"/>
          <w:i/>
          <w:iCs/>
          <w:kern w:val="2"/>
          <w:sz w:val="16"/>
          <w:szCs w:val="16"/>
          <w:lang w:val="it-IT"/>
        </w:rPr>
      </w:pPr>
    </w:p>
    <w:sectPr w:rsidR="00D108AC" w:rsidRPr="00B414AF" w:rsidSect="00D15B2E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108AC"/>
    <w:rsid w:val="000301AD"/>
    <w:rsid w:val="000436FF"/>
    <w:rsid w:val="00064CB6"/>
    <w:rsid w:val="0006672C"/>
    <w:rsid w:val="00082044"/>
    <w:rsid w:val="000869F6"/>
    <w:rsid w:val="000E736A"/>
    <w:rsid w:val="0010462C"/>
    <w:rsid w:val="00110B2A"/>
    <w:rsid w:val="00143DF4"/>
    <w:rsid w:val="00152065"/>
    <w:rsid w:val="00157343"/>
    <w:rsid w:val="0017084E"/>
    <w:rsid w:val="001812C7"/>
    <w:rsid w:val="001B21DE"/>
    <w:rsid w:val="001C4194"/>
    <w:rsid w:val="002018D7"/>
    <w:rsid w:val="00212286"/>
    <w:rsid w:val="002172C9"/>
    <w:rsid w:val="00243545"/>
    <w:rsid w:val="0026687A"/>
    <w:rsid w:val="002719EA"/>
    <w:rsid w:val="002773AC"/>
    <w:rsid w:val="002C1187"/>
    <w:rsid w:val="002C323D"/>
    <w:rsid w:val="002C338A"/>
    <w:rsid w:val="002C3F68"/>
    <w:rsid w:val="002D625D"/>
    <w:rsid w:val="002E36C4"/>
    <w:rsid w:val="002E4D5C"/>
    <w:rsid w:val="002F13DF"/>
    <w:rsid w:val="003231DC"/>
    <w:rsid w:val="00326537"/>
    <w:rsid w:val="00341F3D"/>
    <w:rsid w:val="00347DCD"/>
    <w:rsid w:val="00360715"/>
    <w:rsid w:val="003710B5"/>
    <w:rsid w:val="00371E89"/>
    <w:rsid w:val="003910AD"/>
    <w:rsid w:val="0039428B"/>
    <w:rsid w:val="003C5916"/>
    <w:rsid w:val="0041314D"/>
    <w:rsid w:val="004476BC"/>
    <w:rsid w:val="00463673"/>
    <w:rsid w:val="004657C4"/>
    <w:rsid w:val="00481B7A"/>
    <w:rsid w:val="00490C68"/>
    <w:rsid w:val="004D2177"/>
    <w:rsid w:val="004D6DD5"/>
    <w:rsid w:val="004F123A"/>
    <w:rsid w:val="005126CD"/>
    <w:rsid w:val="005350F1"/>
    <w:rsid w:val="00556EFF"/>
    <w:rsid w:val="005926FD"/>
    <w:rsid w:val="005A2449"/>
    <w:rsid w:val="005B1C06"/>
    <w:rsid w:val="005C6F13"/>
    <w:rsid w:val="00610055"/>
    <w:rsid w:val="00643032"/>
    <w:rsid w:val="0064468B"/>
    <w:rsid w:val="00655B81"/>
    <w:rsid w:val="0069359A"/>
    <w:rsid w:val="006E5682"/>
    <w:rsid w:val="006F0746"/>
    <w:rsid w:val="006F40DB"/>
    <w:rsid w:val="00700E83"/>
    <w:rsid w:val="0072577C"/>
    <w:rsid w:val="00735068"/>
    <w:rsid w:val="007360EC"/>
    <w:rsid w:val="0073699E"/>
    <w:rsid w:val="0075733D"/>
    <w:rsid w:val="00770157"/>
    <w:rsid w:val="007B70C8"/>
    <w:rsid w:val="007F032A"/>
    <w:rsid w:val="007F10E7"/>
    <w:rsid w:val="007F5A4D"/>
    <w:rsid w:val="0080698D"/>
    <w:rsid w:val="0082355E"/>
    <w:rsid w:val="008342ED"/>
    <w:rsid w:val="00834C17"/>
    <w:rsid w:val="00844C3F"/>
    <w:rsid w:val="00846A09"/>
    <w:rsid w:val="00854442"/>
    <w:rsid w:val="00854647"/>
    <w:rsid w:val="00881B43"/>
    <w:rsid w:val="008C7861"/>
    <w:rsid w:val="008D011F"/>
    <w:rsid w:val="008F4100"/>
    <w:rsid w:val="0091050B"/>
    <w:rsid w:val="00915B34"/>
    <w:rsid w:val="0092236E"/>
    <w:rsid w:val="00923448"/>
    <w:rsid w:val="00931997"/>
    <w:rsid w:val="00937430"/>
    <w:rsid w:val="0094253C"/>
    <w:rsid w:val="00945CB7"/>
    <w:rsid w:val="0096007A"/>
    <w:rsid w:val="0098707E"/>
    <w:rsid w:val="009977CF"/>
    <w:rsid w:val="009B3123"/>
    <w:rsid w:val="009C37BD"/>
    <w:rsid w:val="009C65B6"/>
    <w:rsid w:val="009C67E6"/>
    <w:rsid w:val="009C6B1F"/>
    <w:rsid w:val="009D5DB9"/>
    <w:rsid w:val="009D7C14"/>
    <w:rsid w:val="00A3191E"/>
    <w:rsid w:val="00A31EE8"/>
    <w:rsid w:val="00A363E4"/>
    <w:rsid w:val="00AD02ED"/>
    <w:rsid w:val="00B37B7A"/>
    <w:rsid w:val="00B414AF"/>
    <w:rsid w:val="00B86632"/>
    <w:rsid w:val="00BA41EA"/>
    <w:rsid w:val="00BB0080"/>
    <w:rsid w:val="00BD06A3"/>
    <w:rsid w:val="00BD1DEC"/>
    <w:rsid w:val="00C27B44"/>
    <w:rsid w:val="00C35297"/>
    <w:rsid w:val="00C42896"/>
    <w:rsid w:val="00CC0079"/>
    <w:rsid w:val="00CC771F"/>
    <w:rsid w:val="00CF4B80"/>
    <w:rsid w:val="00CF6C81"/>
    <w:rsid w:val="00D108AC"/>
    <w:rsid w:val="00D15B2E"/>
    <w:rsid w:val="00D30797"/>
    <w:rsid w:val="00D37AD5"/>
    <w:rsid w:val="00D57E09"/>
    <w:rsid w:val="00D643DB"/>
    <w:rsid w:val="00D97692"/>
    <w:rsid w:val="00DA29E2"/>
    <w:rsid w:val="00DB096C"/>
    <w:rsid w:val="00DC1DA2"/>
    <w:rsid w:val="00E032F5"/>
    <w:rsid w:val="00E12412"/>
    <w:rsid w:val="00E25A99"/>
    <w:rsid w:val="00E26981"/>
    <w:rsid w:val="00E40B37"/>
    <w:rsid w:val="00E529F9"/>
    <w:rsid w:val="00E8543B"/>
    <w:rsid w:val="00EB436A"/>
    <w:rsid w:val="00EC3E0D"/>
    <w:rsid w:val="00EC47A8"/>
    <w:rsid w:val="00EE3A0E"/>
    <w:rsid w:val="00EF53C5"/>
    <w:rsid w:val="00F06CA0"/>
    <w:rsid w:val="00F1301F"/>
    <w:rsid w:val="00F453DD"/>
    <w:rsid w:val="00F45407"/>
    <w:rsid w:val="00F62C3B"/>
    <w:rsid w:val="00F82856"/>
    <w:rsid w:val="00FA2562"/>
    <w:rsid w:val="00FA3174"/>
    <w:rsid w:val="00FD5A36"/>
    <w:rsid w:val="00FF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b/>
      <w:bCs/>
    </w:rPr>
  </w:style>
  <w:style w:type="character" w:customStyle="1" w:styleId="WW-Absatz-Standardschriftart111">
    <w:name w:val="WW-Absatz-Standardschriftart111"/>
    <w:rsid w:val="00E40B37"/>
  </w:style>
  <w:style w:type="character" w:styleId="BesuchterHyperlink">
    <w:name w:val="FollowedHyperlink"/>
    <w:basedOn w:val="Absatz-Standardschriftart"/>
    <w:uiPriority w:val="99"/>
    <w:semiHidden/>
    <w:unhideWhenUsed/>
    <w:rsid w:val="00BD06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-network.com" TargetMode="External"/><Relationship Id="rId13" Type="http://schemas.openxmlformats.org/officeDocument/2006/relationships/hyperlink" Target="http://www.congatec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prismapr.com" TargetMode="External"/><Relationship Id="rId12" Type="http://schemas.openxmlformats.org/officeDocument/2006/relationships/hyperlink" Target="https://www.congatec.com/com-hp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youtube.com/congatecA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gatec.it" TargetMode="External"/><Relationship Id="rId11" Type="http://schemas.openxmlformats.org/officeDocument/2006/relationships/hyperlink" Target="https://www.congatec.com/it/prodotti/com-hpc/conga-hpcctlu/" TargetMode="External"/><Relationship Id="rId5" Type="http://schemas.openxmlformats.org/officeDocument/2006/relationships/hyperlink" Target="mailto:info@congatec.com" TargetMode="External"/><Relationship Id="rId15" Type="http://schemas.openxmlformats.org/officeDocument/2006/relationships/hyperlink" Target="https://mobile.twitter.com/congatecAG" TargetMode="External"/><Relationship Id="rId10" Type="http://schemas.openxmlformats.org/officeDocument/2006/relationships/hyperlink" Target="https://www.congatec.com/it/congatec/comunicato-stampa.htm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www.linkedin.com/company/455449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22</cp:revision>
  <dcterms:created xsi:type="dcterms:W3CDTF">2019-09-17T08:48:00Z</dcterms:created>
  <dcterms:modified xsi:type="dcterms:W3CDTF">2020-11-16T08:43:00Z</dcterms:modified>
</cp:coreProperties>
</file>