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Default="00B62671" w:rsidP="00A562AA">
      <w:pPr>
        <w:pStyle w:val="berschrift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DF2C9B">
      <w:pPr>
        <w:spacing w:line="240" w:lineRule="auto"/>
        <w:rPr>
          <w:noProof/>
          <w:lang w:eastAsia="de-DE"/>
        </w:rPr>
      </w:pPr>
    </w:p>
    <w:p w14:paraId="33188688" w14:textId="77777777" w:rsidR="00C958C5" w:rsidRDefault="00C958C5" w:rsidP="00DF2C9B">
      <w:pPr>
        <w:spacing w:line="240" w:lineRule="auto"/>
      </w:pPr>
    </w:p>
    <w:p w14:paraId="099CC524" w14:textId="77777777" w:rsidR="00D05F2D" w:rsidRPr="00A43293" w:rsidRDefault="00D05F2D" w:rsidP="00D05F2D">
      <w:pPr>
        <w:spacing w:line="276" w:lineRule="auto"/>
      </w:pPr>
      <w:r w:rsidRPr="00A43293">
        <w:t>congatec lanza cinco nuevos módulos COM-HPC Server Size D con procesadores Intel Xeon D-2700 siguiendo el lema de "menos es más"</w:t>
      </w:r>
    </w:p>
    <w:p w14:paraId="5E43B7CA" w14:textId="77777777" w:rsidR="00D05F2D" w:rsidRPr="00A43293" w:rsidRDefault="00D05F2D" w:rsidP="00D05F2D">
      <w:pPr>
        <w:spacing w:line="276" w:lineRule="auto"/>
      </w:pPr>
    </w:p>
    <w:p w14:paraId="66EEA5AF" w14:textId="77777777" w:rsidR="00D05F2D" w:rsidRPr="00A43293" w:rsidRDefault="00D05F2D" w:rsidP="00D05F2D">
      <w:pPr>
        <w:spacing w:line="276" w:lineRule="auto"/>
        <w:rPr>
          <w:rStyle w:val="Kommentarzeichen1"/>
          <w:b/>
          <w:sz w:val="36"/>
          <w:szCs w:val="36"/>
        </w:rPr>
      </w:pPr>
      <w:r w:rsidRPr="00A43293">
        <w:rPr>
          <w:rStyle w:val="Kommentarzeichen1"/>
          <w:b/>
          <w:sz w:val="36"/>
          <w:szCs w:val="36"/>
        </w:rPr>
        <w:t>Un avance en el mundo de los servidores mixtos de tiempo real</w:t>
      </w:r>
    </w:p>
    <w:p w14:paraId="6C571A97" w14:textId="77777777" w:rsidR="00D05F2D" w:rsidRPr="00A43293" w:rsidRDefault="00D05F2D" w:rsidP="00D05F2D">
      <w:pPr>
        <w:rPr>
          <w:rStyle w:val="Kommentarzeichen1"/>
          <w:bCs/>
          <w:i/>
          <w:iCs/>
          <w:sz w:val="18"/>
          <w:szCs w:val="18"/>
        </w:rPr>
      </w:pPr>
    </w:p>
    <w:p w14:paraId="64A401E6" w14:textId="77777777" w:rsidR="00D05F2D" w:rsidRPr="00A43293" w:rsidRDefault="00D05F2D" w:rsidP="00D05F2D">
      <w:pPr>
        <w:rPr>
          <w:rStyle w:val="Kommentarzeichen1"/>
          <w:bCs/>
          <w:i/>
          <w:iCs/>
          <w:sz w:val="18"/>
          <w:szCs w:val="18"/>
        </w:rPr>
      </w:pPr>
      <w:r w:rsidRPr="00A43293">
        <w:rPr>
          <w:rStyle w:val="Kommentarzeichen1"/>
          <w:bCs/>
          <w:i/>
          <w:iCs/>
          <w:noProof/>
          <w:sz w:val="18"/>
          <w:szCs w:val="18"/>
        </w:rPr>
        <w:drawing>
          <wp:inline distT="0" distB="0" distL="0" distR="0" wp14:anchorId="021771D2" wp14:editId="58762548">
            <wp:extent cx="5581650" cy="3133725"/>
            <wp:effectExtent l="0" t="0" r="0" b="9525"/>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0" cy="3133725"/>
                    </a:xfrm>
                    <a:prstGeom prst="rect">
                      <a:avLst/>
                    </a:prstGeom>
                    <a:noFill/>
                    <a:ln>
                      <a:noFill/>
                    </a:ln>
                  </pic:spPr>
                </pic:pic>
              </a:graphicData>
            </a:graphic>
          </wp:inline>
        </w:drawing>
      </w:r>
    </w:p>
    <w:p w14:paraId="02E9B5E4" w14:textId="77777777" w:rsidR="00D05F2D" w:rsidRPr="00A43293" w:rsidRDefault="00D05F2D" w:rsidP="00D05F2D">
      <w:pPr>
        <w:rPr>
          <w:rStyle w:val="Kommentarzeichen1"/>
          <w:bCs/>
          <w:i/>
          <w:iCs/>
          <w:sz w:val="18"/>
          <w:szCs w:val="18"/>
        </w:rPr>
      </w:pPr>
      <w:r w:rsidRPr="00A43293">
        <w:rPr>
          <w:rStyle w:val="Kommentarzeichen1"/>
          <w:bCs/>
          <w:i/>
          <w:iCs/>
          <w:sz w:val="18"/>
          <w:szCs w:val="18"/>
        </w:rPr>
        <w:t>Los módulos servidor (Server-on-Modules) de congatec basados en el procesador Intel Xeon D-2700 y el compacto factor de forma COM HPC Server Size D</w:t>
      </w:r>
    </w:p>
    <w:p w14:paraId="5AF39D6E" w14:textId="77777777" w:rsidR="00D05F2D" w:rsidRPr="00A43293" w:rsidRDefault="00D05F2D" w:rsidP="00D05F2D">
      <w:pPr>
        <w:rPr>
          <w:rStyle w:val="Kommentarzeichen1"/>
          <w:b/>
          <w:sz w:val="22"/>
          <w:szCs w:val="22"/>
        </w:rPr>
      </w:pPr>
    </w:p>
    <w:p w14:paraId="4EEB683E" w14:textId="5F22B0D9" w:rsidR="00D05F2D" w:rsidRPr="00A43293" w:rsidRDefault="00D05F2D" w:rsidP="00D05F2D">
      <w:r w:rsidRPr="00A43293">
        <w:rPr>
          <w:b/>
        </w:rPr>
        <w:t>Deggendorf/Nuremberg, Alemania, 21 de junio de 2022 * * *</w:t>
      </w:r>
      <w:r w:rsidRPr="00A43293">
        <w:t xml:space="preserve"> congatec - proveedor líder de tecnología de sistemas embebidos y edge computing - amplía su cartera de módulos servidor (Server-on-Mo</w:t>
      </w:r>
      <w:r>
        <w:t>d</w:t>
      </w:r>
      <w:r w:rsidRPr="00A43293">
        <w:t xml:space="preserve">ules) basados en el procesador Intel Xeon D-2700 con el lanzamiento de cinco nuevos módulos en la clase de rendimiento compacto (160x160mm) del Servidor COM-HPC Size D. El lanzamiento subraya la enorme demanda de la industria de servidores de vanguardia de alto rendimiento en un factor de forma pequeño, robusto y apto para exteriores. Además, incorporan a los procesadores Intel Xeon D-2700, con hasta 20 núcleos, al ámbito de las aplicaciones mixtas exigentes en tiempo real. En comparación con los módulos COM-HPC Server Size E, de mayor tamaño (200x160 mm), el número de módulos DRAM admitidos se reduce a la mitad, de 8 a 4 </w:t>
      </w:r>
      <w:r w:rsidR="004F52E5">
        <w:t>zocalos</w:t>
      </w:r>
      <w:r w:rsidRPr="00A43293">
        <w:t xml:space="preserve">. No obstante, se proporcionan unos impresionantes 512 GB de RAM DDR4 a 2.933 MT/sg. La ventaja de limitar la RAM es que los módulos ocupan menos espacio, lo que reduce el espacio necesario en un 20% en comparación con el Size E. Las aplicaciones a las que se dirigen los nuevos módulos COM-HPC basados en el </w:t>
      </w:r>
      <w:r w:rsidRPr="00A43293">
        <w:lastRenderedPageBreak/>
        <w:t>procesador Intel Xeon D-2700 son despliegues de servidores de borde profundamente embebidos y con limitaciones de espacio, con un alto rendimiento de datos</w:t>
      </w:r>
      <w:r>
        <w:t>,</w:t>
      </w:r>
      <w:r w:rsidRPr="00A43293">
        <w:t xml:space="preserve"> pero con cargas de trabajo menos intensivas en memoria. Suelen encontrarse en entornos en tiempo real conectados a la red IIoT de fábricas inteligentes e infraestructuras críticas.</w:t>
      </w:r>
    </w:p>
    <w:p w14:paraId="380AF6DA" w14:textId="77777777" w:rsidR="00D05F2D" w:rsidRPr="00A43293" w:rsidRDefault="00D05F2D" w:rsidP="00D05F2D"/>
    <w:p w14:paraId="17ACEB5B" w14:textId="50E763A6" w:rsidR="00D05F2D" w:rsidRPr="00A43293" w:rsidRDefault="00D05F2D" w:rsidP="00D05F2D">
      <w:r w:rsidRPr="00A43293">
        <w:t xml:space="preserve">"Nuestro lanzamiento actual se describe mejor como "menos es más": Las aplicaciones de servidor de borde mixto no tienen que gestionar cargas de trabajo de servidor intensivas en RAM. Por el contrario, necesitan alojar varias aplicaciones en tiempo real una al lado de la otra y, por tanto, requieren el mayor número de núcleos posible. También deben satisfacer las demandas de las comunicaciones industriales con muchos pequeños paquetes de mensajes que deben procesarse en tiempo real. Una vez más, la memoria no es tan crítica en comparación con los servidores web basados en bases de datos que son utilizados por miles de personas en paralelo. Es cierto que los clientes pueden hacer funcionar los módulos COM-HPC Server Size E con sólo 4 </w:t>
      </w:r>
      <w:r w:rsidR="004F52E5">
        <w:t>zocalos</w:t>
      </w:r>
      <w:r w:rsidR="004F52E5" w:rsidRPr="00A43293">
        <w:t xml:space="preserve"> </w:t>
      </w:r>
      <w:r w:rsidRPr="00A43293">
        <w:t>de RAM. Sin embargo, el ahorro de espacio también es muy importante para ellos. Por eso ahora también ofrecemos el procesador Intel Xeon en el Servidor COM-HPC Size D", explica Martin Danzer, Jefe de Gestión de Producto de congatec.</w:t>
      </w:r>
    </w:p>
    <w:p w14:paraId="5FCDB396" w14:textId="77777777" w:rsidR="00D05F2D" w:rsidRPr="00A43293" w:rsidRDefault="00D05F2D" w:rsidP="00D05F2D"/>
    <w:p w14:paraId="716F5DCD" w14:textId="77777777" w:rsidR="00D05F2D" w:rsidRPr="00A43293" w:rsidRDefault="00D05F2D" w:rsidP="00D05F2D">
      <w:r w:rsidRPr="00A43293">
        <w:t>Independientemente de las distintas especificaciones de</w:t>
      </w:r>
      <w:r>
        <w:t xml:space="preserve"> </w:t>
      </w:r>
      <w:r w:rsidRPr="00A43293">
        <w:t>l</w:t>
      </w:r>
      <w:r>
        <w:t>os</w:t>
      </w:r>
      <w:r w:rsidRPr="00A43293">
        <w:t xml:space="preserve"> módulos servidor, todos los módulos Servidor COM-HPC de congatec con procesadores Intel Xeon (anteriormente Ice Lake D) en Size E y Size D, así como el factor de forma COM Express Tipo 7, aceleran la próxima generación de cargas de trabajo de microservidores en tiempo real en entornos robustos y rangos de temperatura extendidos. Las mejoras incluyen hasta 20 núcleos, hasta 1 TB de RAM, el doble de rendimiento por carril PCIe a velocidades Gen 4, así como conectividad de hasta 100 GbE y soporte TCC/TSN. Las aplicaciones a las que se dirigen van desde servidores de consolidación de cargas de trabajo industriales para automatización, robótica e imágenes médicas de backend hasta servidores de exterior para suministros de energía e infraestructuras críticas -como redes inteligentes de petróleo, gas y electricidad, así como redes ferroviarias y de comunicaciones- y también incluyen aplicaciones habilitadas para la visión, como vehículos autónomos e infraestructuras de vídeo para vigilancia y seguridad.</w:t>
      </w:r>
    </w:p>
    <w:p w14:paraId="586E7948" w14:textId="77777777" w:rsidR="00D05F2D" w:rsidRPr="00A43293" w:rsidRDefault="00D05F2D" w:rsidP="00D05F2D"/>
    <w:p w14:paraId="212FAA15" w14:textId="77777777" w:rsidR="00D05F2D" w:rsidRPr="00A43293" w:rsidRDefault="00D05F2D" w:rsidP="00D05F2D">
      <w:r w:rsidRPr="00A43293">
        <w:t xml:space="preserve">Además de las enormes mejoras en el ancho de banda y el rendimiento, las familias de módulos servidor de congatec amplían significativamente el ciclo de vida de los diseños de servidores robustos de última generación en comparación con los servidores </w:t>
      </w:r>
      <w:r w:rsidRPr="00A43293">
        <w:lastRenderedPageBreak/>
        <w:t xml:space="preserve">comunes, ya que la disponibilidad a largo plazo de hasta diez años forma parte de la hoja de ruta. Las familias de módulos convencen además con un completo conjunto de funciones de nivel de servidor: Para los diseños de misión crítica, ofrecen potentes funciones de seguridad de hardware que incluyen Intel Boot Guard, Intel Total Memory Encryption - Multi-Tenant (Intel TME-MT) e Intel Software Guard Extensions (Intel SGX). Las aplicaciones de IA se benefician de la aceleración de hardware integrada, que incluye AVX-512 y VNNI. </w:t>
      </w:r>
    </w:p>
    <w:p w14:paraId="3C9CA2D3" w14:textId="77777777" w:rsidR="00D05F2D" w:rsidRPr="00A43293" w:rsidRDefault="00D05F2D" w:rsidP="00D05F2D"/>
    <w:p w14:paraId="601F3F29" w14:textId="77777777" w:rsidR="00D05F2D" w:rsidRPr="00A43293" w:rsidRDefault="00D05F2D" w:rsidP="00D05F2D">
      <w:pPr>
        <w:rPr>
          <w:b/>
          <w:bCs/>
        </w:rPr>
      </w:pPr>
      <w:r w:rsidRPr="00A43293">
        <w:rPr>
          <w:b/>
          <w:bCs/>
        </w:rPr>
        <w:t>El conjunto de características en detalle</w:t>
      </w:r>
    </w:p>
    <w:p w14:paraId="29C6DED0" w14:textId="57E6C9F2" w:rsidR="00D05F2D" w:rsidRPr="00A43293" w:rsidRDefault="00D05F2D" w:rsidP="00D05F2D">
      <w:r w:rsidRPr="00A43293">
        <w:t xml:space="preserve">Los cinco nuevos módulos servidor conga-HPC/sILH con procesadores de la serie Intel Xeon D-2700 amplían la actual familia de productos COM-HPC Server Size D de congatec con procesadores Intel Xeon D-1700. Ambas series de procesadores se basan en la generación anteriormente denominada Ice Lake. El presente lanzamiento duplica el número de núcleos disponibles de este compacto módulo servidor de alto rendimiento de 160x160mm de hasta 10 a hasta 20. La compatibilidad con la memoria se amplía de hasta tres a hasta cuatro canales de RAM DDR4 de hasta 512 GB a 2.933 MT/sg. Para la conexión de una amplia gama de controladores dedicados, tarjetas aceleradoras de cálculo y medios de almacenamiento NVMe en instalaciones de servidores de borde robustos, cuentan con 32x carriles PCIe Gen 4 además de 16x carriles PCIe Gen 3. Para las redes en tiempo real hay 1x 2,5 GbE con soporte TSN y TCC además de un ancho de banda Ethernet ampliado de 100 Gbps en varias configuraciones que incluyen 1x 100 GbE, 2x 50 GbE, 4x 25 GbE así como varias otras configuraciones a través de interfaces KR o SFI. Otras interfaces son 4x USB 3.1 y 4x USB 2.0. Para el almacenamiento no volátil, los módulos admiten opcionalmente un eMMC 5.1 integrado con una capacidad de hasta 128 GB, así como 2 interfaces SATA III. </w:t>
      </w:r>
    </w:p>
    <w:p w14:paraId="4D5EA003" w14:textId="77777777" w:rsidR="00D05F2D" w:rsidRPr="00A43293" w:rsidRDefault="00D05F2D" w:rsidP="00D05F2D"/>
    <w:p w14:paraId="422D73BF" w14:textId="77777777" w:rsidR="00D05F2D" w:rsidRPr="00A43293" w:rsidRDefault="00D05F2D" w:rsidP="00D05F2D">
      <w:r w:rsidRPr="00A43293">
        <w:t xml:space="preserve">Los nuevos módulos servidor COM-HPC, preparados para las aplicaciones, vienen con paquetes de soporte de placa completos para Windows, Linux y VxWorks. Para la consolidación de la carga de trabajo, el soporte de máquinas virtuales en tiempo real está disponible gracias al amplio soporte de congatec de las implementaciones de RTS Hypervisor de Real-Time Systems. congatec también ofrece soluciones de refrigeración perfectamente adaptadas, que van desde una potente refrigeración activa con adaptador de tubo de calor hasta soluciones de refrigeración totalmente pasivas para la mejor resistencia mecánica contra vibraciones y golpes. </w:t>
      </w:r>
    </w:p>
    <w:p w14:paraId="64BE4C5D" w14:textId="77777777" w:rsidR="00D05F2D" w:rsidRPr="00A43293" w:rsidRDefault="00D05F2D" w:rsidP="00D05F2D"/>
    <w:p w14:paraId="73846DCA" w14:textId="77777777" w:rsidR="00D05F2D" w:rsidRPr="00A43293" w:rsidRDefault="00D05F2D" w:rsidP="00D05F2D">
      <w:r w:rsidRPr="00A43293">
        <w:lastRenderedPageBreak/>
        <w:t>Los nuevos módulos conga-HPC/sILH COM-HPC Server Size D (160x160mm) basados en el procesador Intel Xeon D-2700 estarán disponibles en las siguientes variantes:</w:t>
      </w:r>
    </w:p>
    <w:p w14:paraId="3A74CEB3" w14:textId="77777777" w:rsidR="00D05F2D" w:rsidRPr="00A43293" w:rsidRDefault="00D05F2D" w:rsidP="00D05F2D"/>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D05F2D" w:rsidRPr="00A43293" w14:paraId="486C7F04" w14:textId="77777777" w:rsidTr="00095CF0">
        <w:tc>
          <w:tcPr>
            <w:tcW w:w="2041" w:type="dxa"/>
            <w:tcBorders>
              <w:bottom w:val="single" w:sz="4" w:space="0" w:color="auto"/>
            </w:tcBorders>
            <w:shd w:val="clear" w:color="auto" w:fill="auto"/>
            <w:vAlign w:val="center"/>
          </w:tcPr>
          <w:p w14:paraId="2E2A8DA8" w14:textId="77777777" w:rsidR="00D05F2D" w:rsidRPr="00A43293" w:rsidRDefault="00D05F2D" w:rsidP="00095CF0">
            <w:pPr>
              <w:rPr>
                <w:b/>
                <w:sz w:val="18"/>
                <w:szCs w:val="18"/>
                <w:lang w:eastAsia="de-DE"/>
              </w:rPr>
            </w:pPr>
            <w:r w:rsidRPr="00A43293">
              <w:rPr>
                <w:b/>
                <w:sz w:val="18"/>
                <w:szCs w:val="18"/>
                <w:lang w:eastAsia="de-DE"/>
              </w:rPr>
              <w:t>Procesador</w:t>
            </w:r>
          </w:p>
        </w:tc>
        <w:tc>
          <w:tcPr>
            <w:tcW w:w="283" w:type="dxa"/>
            <w:shd w:val="clear" w:color="auto" w:fill="auto"/>
            <w:vAlign w:val="center"/>
          </w:tcPr>
          <w:p w14:paraId="31893DB3" w14:textId="77777777" w:rsidR="00D05F2D" w:rsidRPr="00A43293" w:rsidRDefault="00D05F2D" w:rsidP="00095CF0">
            <w:pPr>
              <w:rPr>
                <w:b/>
                <w:sz w:val="18"/>
                <w:szCs w:val="18"/>
                <w:lang w:eastAsia="de-DE"/>
              </w:rPr>
            </w:pPr>
          </w:p>
        </w:tc>
        <w:tc>
          <w:tcPr>
            <w:tcW w:w="964" w:type="dxa"/>
            <w:tcBorders>
              <w:bottom w:val="single" w:sz="4" w:space="0" w:color="auto"/>
            </w:tcBorders>
            <w:shd w:val="clear" w:color="auto" w:fill="auto"/>
            <w:vAlign w:val="center"/>
          </w:tcPr>
          <w:p w14:paraId="7910C36E" w14:textId="77777777" w:rsidR="00D05F2D" w:rsidRPr="00A43293" w:rsidRDefault="00D05F2D" w:rsidP="00095CF0">
            <w:pPr>
              <w:jc w:val="center"/>
              <w:rPr>
                <w:b/>
                <w:sz w:val="18"/>
                <w:szCs w:val="18"/>
                <w:lang w:eastAsia="de-DE"/>
              </w:rPr>
            </w:pPr>
            <w:r w:rsidRPr="00A43293">
              <w:rPr>
                <w:b/>
                <w:sz w:val="18"/>
                <w:szCs w:val="18"/>
                <w:lang w:eastAsia="de-DE"/>
              </w:rPr>
              <w:t>Núcleos / Hilos</w:t>
            </w:r>
          </w:p>
        </w:tc>
        <w:tc>
          <w:tcPr>
            <w:tcW w:w="236" w:type="dxa"/>
            <w:shd w:val="clear" w:color="auto" w:fill="auto"/>
            <w:vAlign w:val="center"/>
          </w:tcPr>
          <w:p w14:paraId="13265723" w14:textId="77777777" w:rsidR="00D05F2D" w:rsidRPr="00A43293" w:rsidRDefault="00D05F2D" w:rsidP="00095CF0">
            <w:pPr>
              <w:jc w:val="center"/>
              <w:rPr>
                <w:b/>
                <w:sz w:val="18"/>
                <w:szCs w:val="18"/>
                <w:lang w:eastAsia="de-DE"/>
              </w:rPr>
            </w:pPr>
          </w:p>
        </w:tc>
        <w:tc>
          <w:tcPr>
            <w:tcW w:w="907" w:type="dxa"/>
            <w:tcBorders>
              <w:bottom w:val="single" w:sz="4" w:space="0" w:color="auto"/>
            </w:tcBorders>
            <w:shd w:val="clear" w:color="auto" w:fill="auto"/>
            <w:vAlign w:val="center"/>
          </w:tcPr>
          <w:p w14:paraId="40E99D13" w14:textId="77777777" w:rsidR="00D05F2D" w:rsidRPr="00A43293" w:rsidRDefault="00D05F2D" w:rsidP="00095CF0">
            <w:pPr>
              <w:jc w:val="center"/>
              <w:rPr>
                <w:b/>
                <w:sz w:val="18"/>
                <w:szCs w:val="18"/>
                <w:lang w:eastAsia="de-DE"/>
              </w:rPr>
            </w:pPr>
            <w:r w:rsidRPr="00A43293">
              <w:rPr>
                <w:b/>
                <w:sz w:val="18"/>
                <w:szCs w:val="18"/>
                <w:lang w:eastAsia="de-DE"/>
              </w:rPr>
              <w:t xml:space="preserve">Frec. [GHz] </w:t>
            </w:r>
          </w:p>
        </w:tc>
        <w:tc>
          <w:tcPr>
            <w:tcW w:w="236" w:type="dxa"/>
            <w:shd w:val="clear" w:color="auto" w:fill="auto"/>
          </w:tcPr>
          <w:p w14:paraId="5D3BC70E" w14:textId="77777777" w:rsidR="00D05F2D" w:rsidRPr="00A43293" w:rsidRDefault="00D05F2D" w:rsidP="00095CF0">
            <w:pPr>
              <w:jc w:val="center"/>
              <w:rPr>
                <w:b/>
                <w:sz w:val="18"/>
                <w:szCs w:val="18"/>
                <w:lang w:eastAsia="de-DE"/>
              </w:rPr>
            </w:pPr>
          </w:p>
        </w:tc>
        <w:tc>
          <w:tcPr>
            <w:tcW w:w="1191" w:type="dxa"/>
            <w:tcBorders>
              <w:bottom w:val="single" w:sz="4" w:space="0" w:color="auto"/>
            </w:tcBorders>
          </w:tcPr>
          <w:p w14:paraId="5950462A" w14:textId="77777777" w:rsidR="00D05F2D" w:rsidRPr="00A43293" w:rsidRDefault="00D05F2D" w:rsidP="00095CF0">
            <w:pPr>
              <w:jc w:val="center"/>
              <w:rPr>
                <w:b/>
                <w:bCs/>
                <w:sz w:val="18"/>
                <w:szCs w:val="18"/>
                <w:lang w:eastAsia="de-DE"/>
              </w:rPr>
            </w:pPr>
            <w:r w:rsidRPr="00A43293">
              <w:rPr>
                <w:b/>
                <w:sz w:val="18"/>
                <w:szCs w:val="18"/>
                <w:lang w:eastAsia="de-DE"/>
              </w:rPr>
              <w:t>LLC Cache [MB]</w:t>
            </w:r>
          </w:p>
        </w:tc>
        <w:tc>
          <w:tcPr>
            <w:tcW w:w="236" w:type="dxa"/>
          </w:tcPr>
          <w:p w14:paraId="77A0B08A" w14:textId="77777777" w:rsidR="00D05F2D" w:rsidRPr="00A43293" w:rsidRDefault="00D05F2D" w:rsidP="00095CF0">
            <w:pPr>
              <w:jc w:val="center"/>
              <w:rPr>
                <w:b/>
                <w:bCs/>
                <w:sz w:val="18"/>
                <w:szCs w:val="18"/>
                <w:lang w:eastAsia="de-DE"/>
              </w:rPr>
            </w:pPr>
          </w:p>
        </w:tc>
        <w:tc>
          <w:tcPr>
            <w:tcW w:w="1134" w:type="dxa"/>
            <w:tcBorders>
              <w:bottom w:val="single" w:sz="4" w:space="0" w:color="auto"/>
            </w:tcBorders>
            <w:shd w:val="clear" w:color="auto" w:fill="auto"/>
            <w:vAlign w:val="center"/>
          </w:tcPr>
          <w:p w14:paraId="6AA1A4ED" w14:textId="77777777" w:rsidR="00D05F2D" w:rsidRPr="00A43293" w:rsidRDefault="00D05F2D" w:rsidP="00095CF0">
            <w:pPr>
              <w:jc w:val="center"/>
              <w:rPr>
                <w:b/>
                <w:sz w:val="18"/>
                <w:szCs w:val="18"/>
                <w:lang w:eastAsia="de-DE"/>
              </w:rPr>
            </w:pPr>
            <w:r w:rsidRPr="00A43293">
              <w:rPr>
                <w:b/>
                <w:bCs/>
                <w:sz w:val="18"/>
                <w:szCs w:val="18"/>
                <w:lang w:eastAsia="de-DE"/>
              </w:rPr>
              <w:t>Potencia Base CPU</w:t>
            </w:r>
            <w:r w:rsidRPr="00A43293" w:rsidDel="009A0C86">
              <w:rPr>
                <w:b/>
                <w:sz w:val="18"/>
                <w:szCs w:val="18"/>
                <w:lang w:eastAsia="de-DE"/>
              </w:rPr>
              <w:t xml:space="preserve"> </w:t>
            </w:r>
            <w:r w:rsidRPr="00A43293">
              <w:rPr>
                <w:b/>
                <w:sz w:val="18"/>
                <w:szCs w:val="18"/>
                <w:lang w:eastAsia="de-DE"/>
              </w:rPr>
              <w:t>[W]</w:t>
            </w:r>
          </w:p>
        </w:tc>
        <w:tc>
          <w:tcPr>
            <w:tcW w:w="236" w:type="dxa"/>
            <w:shd w:val="clear" w:color="auto" w:fill="auto"/>
            <w:vAlign w:val="center"/>
          </w:tcPr>
          <w:p w14:paraId="56410F9B" w14:textId="77777777" w:rsidR="00D05F2D" w:rsidRPr="00A43293" w:rsidRDefault="00D05F2D" w:rsidP="00095CF0">
            <w:pPr>
              <w:jc w:val="center"/>
              <w:rPr>
                <w:b/>
                <w:sz w:val="18"/>
                <w:szCs w:val="18"/>
                <w:lang w:eastAsia="de-DE"/>
              </w:rPr>
            </w:pPr>
          </w:p>
        </w:tc>
        <w:tc>
          <w:tcPr>
            <w:tcW w:w="1716" w:type="dxa"/>
            <w:tcBorders>
              <w:bottom w:val="single" w:sz="4" w:space="0" w:color="auto"/>
            </w:tcBorders>
            <w:shd w:val="clear" w:color="auto" w:fill="auto"/>
            <w:vAlign w:val="center"/>
          </w:tcPr>
          <w:p w14:paraId="1900A2A6" w14:textId="77777777" w:rsidR="00D05F2D" w:rsidRPr="00A43293" w:rsidRDefault="00D05F2D" w:rsidP="00095CF0">
            <w:pPr>
              <w:ind w:right="29"/>
              <w:jc w:val="center"/>
              <w:rPr>
                <w:b/>
                <w:sz w:val="18"/>
                <w:szCs w:val="18"/>
                <w:lang w:eastAsia="de-DE"/>
              </w:rPr>
            </w:pPr>
            <w:r w:rsidRPr="00A43293">
              <w:rPr>
                <w:b/>
                <w:sz w:val="18"/>
                <w:szCs w:val="18"/>
                <w:lang w:eastAsia="de-DE"/>
              </w:rPr>
              <w:t>Rango de temperatura</w:t>
            </w:r>
          </w:p>
        </w:tc>
      </w:tr>
      <w:tr w:rsidR="00D05F2D" w:rsidRPr="00A43293" w14:paraId="7E931A58" w14:textId="77777777" w:rsidTr="00095CF0">
        <w:tc>
          <w:tcPr>
            <w:tcW w:w="2041" w:type="dxa"/>
            <w:tcBorders>
              <w:top w:val="single" w:sz="4" w:space="0" w:color="auto"/>
              <w:bottom w:val="single" w:sz="4" w:space="0" w:color="auto"/>
            </w:tcBorders>
            <w:shd w:val="clear" w:color="auto" w:fill="auto"/>
            <w:vAlign w:val="center"/>
          </w:tcPr>
          <w:p w14:paraId="05518596" w14:textId="77777777" w:rsidR="00D05F2D" w:rsidRPr="00A43293" w:rsidRDefault="00D05F2D" w:rsidP="00095CF0">
            <w:pPr>
              <w:rPr>
                <w:sz w:val="18"/>
                <w:szCs w:val="18"/>
                <w:lang w:eastAsia="de-DE"/>
              </w:rPr>
            </w:pPr>
            <w:r w:rsidRPr="00A43293">
              <w:rPr>
                <w:sz w:val="18"/>
                <w:szCs w:val="18"/>
                <w:lang w:eastAsia="de-DE"/>
              </w:rPr>
              <w:t>Intel Xeon D-2796TE</w:t>
            </w:r>
          </w:p>
        </w:tc>
        <w:tc>
          <w:tcPr>
            <w:tcW w:w="283" w:type="dxa"/>
            <w:shd w:val="clear" w:color="auto" w:fill="auto"/>
            <w:vAlign w:val="center"/>
          </w:tcPr>
          <w:p w14:paraId="237E89C2" w14:textId="77777777" w:rsidR="00D05F2D" w:rsidRPr="00A43293" w:rsidRDefault="00D05F2D" w:rsidP="00095CF0">
            <w:pPr>
              <w:rPr>
                <w:sz w:val="18"/>
                <w:szCs w:val="18"/>
              </w:rPr>
            </w:pPr>
          </w:p>
        </w:tc>
        <w:tc>
          <w:tcPr>
            <w:tcW w:w="964" w:type="dxa"/>
            <w:tcBorders>
              <w:top w:val="single" w:sz="4" w:space="0" w:color="auto"/>
              <w:bottom w:val="single" w:sz="4" w:space="0" w:color="auto"/>
            </w:tcBorders>
            <w:shd w:val="clear" w:color="auto" w:fill="auto"/>
            <w:vAlign w:val="center"/>
          </w:tcPr>
          <w:p w14:paraId="4877AF24" w14:textId="77777777" w:rsidR="00D05F2D" w:rsidRPr="00A43293" w:rsidRDefault="00D05F2D" w:rsidP="00095CF0">
            <w:pPr>
              <w:jc w:val="center"/>
              <w:rPr>
                <w:sz w:val="18"/>
                <w:szCs w:val="18"/>
              </w:rPr>
            </w:pPr>
            <w:r w:rsidRPr="00A43293">
              <w:rPr>
                <w:sz w:val="18"/>
                <w:szCs w:val="18"/>
                <w:lang w:eastAsia="de-DE"/>
              </w:rPr>
              <w:t>20 / 40</w:t>
            </w:r>
          </w:p>
        </w:tc>
        <w:tc>
          <w:tcPr>
            <w:tcW w:w="236" w:type="dxa"/>
            <w:shd w:val="clear" w:color="auto" w:fill="auto"/>
            <w:vAlign w:val="center"/>
          </w:tcPr>
          <w:p w14:paraId="3286E5D9" w14:textId="77777777" w:rsidR="00D05F2D" w:rsidRPr="00A43293" w:rsidRDefault="00D05F2D" w:rsidP="00095CF0">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7C2C93A4" w14:textId="77777777" w:rsidR="00D05F2D" w:rsidRPr="00A43293" w:rsidRDefault="00D05F2D" w:rsidP="00095CF0">
            <w:pPr>
              <w:jc w:val="center"/>
              <w:rPr>
                <w:sz w:val="18"/>
                <w:szCs w:val="18"/>
                <w:lang w:eastAsia="de-DE"/>
              </w:rPr>
            </w:pPr>
            <w:r w:rsidRPr="00A43293">
              <w:rPr>
                <w:sz w:val="18"/>
                <w:szCs w:val="18"/>
                <w:lang w:eastAsia="de-DE"/>
              </w:rPr>
              <w:t>2.0</w:t>
            </w:r>
          </w:p>
        </w:tc>
        <w:tc>
          <w:tcPr>
            <w:tcW w:w="236" w:type="dxa"/>
            <w:shd w:val="clear" w:color="auto" w:fill="auto"/>
          </w:tcPr>
          <w:p w14:paraId="5528E44D" w14:textId="77777777" w:rsidR="00D05F2D" w:rsidRPr="00A43293" w:rsidRDefault="00D05F2D" w:rsidP="00095CF0">
            <w:pPr>
              <w:jc w:val="center"/>
              <w:rPr>
                <w:sz w:val="18"/>
                <w:szCs w:val="18"/>
                <w:lang w:eastAsia="de-DE"/>
              </w:rPr>
            </w:pPr>
          </w:p>
        </w:tc>
        <w:tc>
          <w:tcPr>
            <w:tcW w:w="1191" w:type="dxa"/>
            <w:tcBorders>
              <w:top w:val="single" w:sz="4" w:space="0" w:color="auto"/>
              <w:bottom w:val="single" w:sz="4" w:space="0" w:color="auto"/>
            </w:tcBorders>
          </w:tcPr>
          <w:p w14:paraId="1CCB4334" w14:textId="77777777" w:rsidR="00D05F2D" w:rsidRPr="00A43293" w:rsidRDefault="00D05F2D" w:rsidP="00095CF0">
            <w:pPr>
              <w:jc w:val="center"/>
              <w:rPr>
                <w:sz w:val="18"/>
                <w:szCs w:val="18"/>
              </w:rPr>
            </w:pPr>
            <w:r w:rsidRPr="00A43293">
              <w:rPr>
                <w:sz w:val="18"/>
                <w:szCs w:val="18"/>
              </w:rPr>
              <w:t>30</w:t>
            </w:r>
          </w:p>
        </w:tc>
        <w:tc>
          <w:tcPr>
            <w:tcW w:w="236" w:type="dxa"/>
          </w:tcPr>
          <w:p w14:paraId="3CDDE494" w14:textId="77777777" w:rsidR="00D05F2D" w:rsidRPr="00A43293" w:rsidRDefault="00D05F2D" w:rsidP="00095CF0">
            <w:pPr>
              <w:jc w:val="center"/>
              <w:rPr>
                <w:sz w:val="18"/>
                <w:szCs w:val="18"/>
              </w:rPr>
            </w:pPr>
          </w:p>
        </w:tc>
        <w:tc>
          <w:tcPr>
            <w:tcW w:w="1134" w:type="dxa"/>
            <w:tcBorders>
              <w:top w:val="single" w:sz="4" w:space="0" w:color="auto"/>
              <w:bottom w:val="single" w:sz="4" w:space="0" w:color="auto"/>
            </w:tcBorders>
            <w:shd w:val="clear" w:color="auto" w:fill="auto"/>
            <w:vAlign w:val="center"/>
          </w:tcPr>
          <w:p w14:paraId="2796CE92" w14:textId="77777777" w:rsidR="00D05F2D" w:rsidRPr="00A43293" w:rsidRDefault="00D05F2D" w:rsidP="00095CF0">
            <w:pPr>
              <w:jc w:val="center"/>
              <w:rPr>
                <w:sz w:val="18"/>
                <w:szCs w:val="18"/>
              </w:rPr>
            </w:pPr>
            <w:r w:rsidRPr="00A43293">
              <w:rPr>
                <w:sz w:val="18"/>
                <w:szCs w:val="18"/>
              </w:rPr>
              <w:t>118</w:t>
            </w:r>
          </w:p>
        </w:tc>
        <w:tc>
          <w:tcPr>
            <w:tcW w:w="236" w:type="dxa"/>
            <w:shd w:val="clear" w:color="auto" w:fill="auto"/>
            <w:vAlign w:val="center"/>
          </w:tcPr>
          <w:p w14:paraId="5F7F717B" w14:textId="77777777" w:rsidR="00D05F2D" w:rsidRPr="00A43293" w:rsidRDefault="00D05F2D" w:rsidP="00095CF0">
            <w:pPr>
              <w:rPr>
                <w:sz w:val="18"/>
                <w:szCs w:val="18"/>
              </w:rPr>
            </w:pPr>
          </w:p>
        </w:tc>
        <w:tc>
          <w:tcPr>
            <w:tcW w:w="1716" w:type="dxa"/>
            <w:tcBorders>
              <w:top w:val="single" w:sz="4" w:space="0" w:color="auto"/>
              <w:bottom w:val="single" w:sz="4" w:space="0" w:color="auto"/>
            </w:tcBorders>
            <w:shd w:val="clear" w:color="auto" w:fill="auto"/>
            <w:vAlign w:val="center"/>
          </w:tcPr>
          <w:p w14:paraId="37316F99" w14:textId="77777777" w:rsidR="00D05F2D" w:rsidRPr="00A43293" w:rsidRDefault="00D05F2D" w:rsidP="00095CF0">
            <w:pPr>
              <w:jc w:val="center"/>
              <w:rPr>
                <w:sz w:val="18"/>
                <w:szCs w:val="18"/>
              </w:rPr>
            </w:pPr>
            <w:r w:rsidRPr="00A43293">
              <w:rPr>
                <w:sz w:val="18"/>
                <w:szCs w:val="18"/>
              </w:rPr>
              <w:t>Ampliado</w:t>
            </w:r>
          </w:p>
        </w:tc>
      </w:tr>
      <w:tr w:rsidR="00D05F2D" w:rsidRPr="00A43293" w14:paraId="2D0F02D9" w14:textId="77777777" w:rsidTr="00095CF0">
        <w:tc>
          <w:tcPr>
            <w:tcW w:w="2041" w:type="dxa"/>
            <w:tcBorders>
              <w:top w:val="single" w:sz="4" w:space="0" w:color="auto"/>
              <w:bottom w:val="single" w:sz="4" w:space="0" w:color="auto"/>
            </w:tcBorders>
            <w:shd w:val="clear" w:color="auto" w:fill="auto"/>
            <w:vAlign w:val="center"/>
          </w:tcPr>
          <w:p w14:paraId="6C669308" w14:textId="77777777" w:rsidR="00D05F2D" w:rsidRPr="00A43293" w:rsidRDefault="00D05F2D" w:rsidP="00095CF0">
            <w:pPr>
              <w:rPr>
                <w:sz w:val="18"/>
                <w:szCs w:val="18"/>
                <w:lang w:eastAsia="de-DE"/>
              </w:rPr>
            </w:pPr>
            <w:r w:rsidRPr="00A43293">
              <w:rPr>
                <w:sz w:val="18"/>
                <w:szCs w:val="18"/>
                <w:lang w:eastAsia="de-DE"/>
              </w:rPr>
              <w:t>Intel Xeon D-2775TE</w:t>
            </w:r>
          </w:p>
        </w:tc>
        <w:tc>
          <w:tcPr>
            <w:tcW w:w="283" w:type="dxa"/>
            <w:shd w:val="clear" w:color="auto" w:fill="auto"/>
            <w:vAlign w:val="center"/>
          </w:tcPr>
          <w:p w14:paraId="36239DDB" w14:textId="77777777" w:rsidR="00D05F2D" w:rsidRPr="00A43293" w:rsidRDefault="00D05F2D" w:rsidP="00095CF0">
            <w:pPr>
              <w:rPr>
                <w:sz w:val="18"/>
                <w:szCs w:val="18"/>
              </w:rPr>
            </w:pPr>
          </w:p>
        </w:tc>
        <w:tc>
          <w:tcPr>
            <w:tcW w:w="964" w:type="dxa"/>
            <w:tcBorders>
              <w:top w:val="single" w:sz="4" w:space="0" w:color="auto"/>
              <w:bottom w:val="single" w:sz="4" w:space="0" w:color="auto"/>
            </w:tcBorders>
            <w:shd w:val="clear" w:color="auto" w:fill="auto"/>
            <w:vAlign w:val="center"/>
          </w:tcPr>
          <w:p w14:paraId="0F6BAF75" w14:textId="77777777" w:rsidR="00D05F2D" w:rsidRPr="00A43293" w:rsidRDefault="00D05F2D" w:rsidP="00095CF0">
            <w:pPr>
              <w:jc w:val="center"/>
              <w:rPr>
                <w:sz w:val="18"/>
                <w:szCs w:val="18"/>
                <w:lang w:eastAsia="de-DE"/>
              </w:rPr>
            </w:pPr>
            <w:r w:rsidRPr="00A43293">
              <w:rPr>
                <w:sz w:val="18"/>
                <w:szCs w:val="18"/>
                <w:lang w:eastAsia="de-DE"/>
              </w:rPr>
              <w:t>16 / 32</w:t>
            </w:r>
          </w:p>
        </w:tc>
        <w:tc>
          <w:tcPr>
            <w:tcW w:w="236" w:type="dxa"/>
            <w:shd w:val="clear" w:color="auto" w:fill="auto"/>
            <w:vAlign w:val="center"/>
          </w:tcPr>
          <w:p w14:paraId="3136C743" w14:textId="77777777" w:rsidR="00D05F2D" w:rsidRPr="00A43293" w:rsidRDefault="00D05F2D" w:rsidP="00095CF0">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1D87322E" w14:textId="77777777" w:rsidR="00D05F2D" w:rsidRPr="00A43293" w:rsidRDefault="00D05F2D" w:rsidP="00095CF0">
            <w:pPr>
              <w:jc w:val="center"/>
              <w:rPr>
                <w:sz w:val="18"/>
                <w:szCs w:val="18"/>
                <w:lang w:eastAsia="de-DE"/>
              </w:rPr>
            </w:pPr>
            <w:r w:rsidRPr="00A43293">
              <w:rPr>
                <w:sz w:val="18"/>
                <w:szCs w:val="18"/>
                <w:lang w:eastAsia="de-DE"/>
              </w:rPr>
              <w:t>2.0</w:t>
            </w:r>
          </w:p>
        </w:tc>
        <w:tc>
          <w:tcPr>
            <w:tcW w:w="236" w:type="dxa"/>
            <w:shd w:val="clear" w:color="auto" w:fill="auto"/>
          </w:tcPr>
          <w:p w14:paraId="669CC435" w14:textId="77777777" w:rsidR="00D05F2D" w:rsidRPr="00A43293" w:rsidRDefault="00D05F2D" w:rsidP="00095CF0">
            <w:pPr>
              <w:jc w:val="center"/>
              <w:rPr>
                <w:sz w:val="18"/>
                <w:szCs w:val="18"/>
                <w:lang w:eastAsia="de-DE"/>
              </w:rPr>
            </w:pPr>
          </w:p>
        </w:tc>
        <w:tc>
          <w:tcPr>
            <w:tcW w:w="1191" w:type="dxa"/>
            <w:tcBorders>
              <w:top w:val="single" w:sz="4" w:space="0" w:color="auto"/>
              <w:bottom w:val="single" w:sz="4" w:space="0" w:color="auto"/>
            </w:tcBorders>
          </w:tcPr>
          <w:p w14:paraId="2720199F" w14:textId="77777777" w:rsidR="00D05F2D" w:rsidRPr="00A43293" w:rsidRDefault="00D05F2D" w:rsidP="00095CF0">
            <w:pPr>
              <w:jc w:val="center"/>
              <w:rPr>
                <w:sz w:val="18"/>
                <w:szCs w:val="18"/>
              </w:rPr>
            </w:pPr>
            <w:r w:rsidRPr="00A43293">
              <w:rPr>
                <w:sz w:val="18"/>
                <w:szCs w:val="18"/>
              </w:rPr>
              <w:t>25</w:t>
            </w:r>
          </w:p>
        </w:tc>
        <w:tc>
          <w:tcPr>
            <w:tcW w:w="236" w:type="dxa"/>
          </w:tcPr>
          <w:p w14:paraId="15839F9D" w14:textId="77777777" w:rsidR="00D05F2D" w:rsidRPr="00A43293" w:rsidRDefault="00D05F2D" w:rsidP="00095CF0">
            <w:pPr>
              <w:jc w:val="center"/>
              <w:rPr>
                <w:sz w:val="18"/>
                <w:szCs w:val="18"/>
              </w:rPr>
            </w:pPr>
          </w:p>
        </w:tc>
        <w:tc>
          <w:tcPr>
            <w:tcW w:w="1134" w:type="dxa"/>
            <w:tcBorders>
              <w:top w:val="single" w:sz="4" w:space="0" w:color="auto"/>
              <w:bottom w:val="single" w:sz="4" w:space="0" w:color="auto"/>
            </w:tcBorders>
            <w:shd w:val="clear" w:color="auto" w:fill="auto"/>
            <w:vAlign w:val="center"/>
          </w:tcPr>
          <w:p w14:paraId="758EFC02" w14:textId="77777777" w:rsidR="00D05F2D" w:rsidRPr="00A43293" w:rsidRDefault="00D05F2D" w:rsidP="00095CF0">
            <w:pPr>
              <w:jc w:val="center"/>
              <w:rPr>
                <w:sz w:val="18"/>
                <w:szCs w:val="18"/>
              </w:rPr>
            </w:pPr>
            <w:r w:rsidRPr="00A43293">
              <w:rPr>
                <w:sz w:val="18"/>
                <w:szCs w:val="18"/>
              </w:rPr>
              <w:t>100</w:t>
            </w:r>
          </w:p>
        </w:tc>
        <w:tc>
          <w:tcPr>
            <w:tcW w:w="236" w:type="dxa"/>
            <w:shd w:val="clear" w:color="auto" w:fill="auto"/>
            <w:vAlign w:val="center"/>
          </w:tcPr>
          <w:p w14:paraId="0966DEDA" w14:textId="77777777" w:rsidR="00D05F2D" w:rsidRPr="00A43293" w:rsidRDefault="00D05F2D" w:rsidP="00095CF0">
            <w:pPr>
              <w:rPr>
                <w:sz w:val="18"/>
                <w:szCs w:val="18"/>
              </w:rPr>
            </w:pPr>
          </w:p>
        </w:tc>
        <w:tc>
          <w:tcPr>
            <w:tcW w:w="1716" w:type="dxa"/>
            <w:tcBorders>
              <w:top w:val="single" w:sz="4" w:space="0" w:color="auto"/>
              <w:bottom w:val="single" w:sz="4" w:space="0" w:color="auto"/>
            </w:tcBorders>
            <w:shd w:val="clear" w:color="auto" w:fill="auto"/>
            <w:vAlign w:val="center"/>
          </w:tcPr>
          <w:p w14:paraId="4A800A11" w14:textId="77777777" w:rsidR="00D05F2D" w:rsidRPr="00A43293" w:rsidRDefault="00D05F2D" w:rsidP="00095CF0">
            <w:pPr>
              <w:ind w:right="29"/>
              <w:jc w:val="center"/>
              <w:rPr>
                <w:sz w:val="18"/>
                <w:szCs w:val="18"/>
              </w:rPr>
            </w:pPr>
            <w:r w:rsidRPr="00A43293">
              <w:rPr>
                <w:sz w:val="18"/>
                <w:szCs w:val="18"/>
              </w:rPr>
              <w:t>Ampliado</w:t>
            </w:r>
          </w:p>
        </w:tc>
      </w:tr>
      <w:tr w:rsidR="00D05F2D" w:rsidRPr="00A43293" w14:paraId="6BA36861" w14:textId="77777777" w:rsidTr="00095CF0">
        <w:tc>
          <w:tcPr>
            <w:tcW w:w="2041" w:type="dxa"/>
            <w:tcBorders>
              <w:top w:val="single" w:sz="4" w:space="0" w:color="auto"/>
              <w:bottom w:val="single" w:sz="4" w:space="0" w:color="auto"/>
            </w:tcBorders>
            <w:shd w:val="clear" w:color="auto" w:fill="auto"/>
            <w:vAlign w:val="center"/>
          </w:tcPr>
          <w:p w14:paraId="33ECFC0D" w14:textId="77777777" w:rsidR="00D05F2D" w:rsidRPr="00A43293" w:rsidRDefault="00D05F2D" w:rsidP="00095CF0">
            <w:pPr>
              <w:rPr>
                <w:sz w:val="18"/>
                <w:szCs w:val="18"/>
                <w:lang w:eastAsia="de-DE"/>
              </w:rPr>
            </w:pPr>
            <w:r w:rsidRPr="00A43293">
              <w:rPr>
                <w:sz w:val="18"/>
                <w:szCs w:val="18"/>
                <w:lang w:eastAsia="de-DE"/>
              </w:rPr>
              <w:t>Intel Xeon D-2752TER</w:t>
            </w:r>
          </w:p>
        </w:tc>
        <w:tc>
          <w:tcPr>
            <w:tcW w:w="283" w:type="dxa"/>
            <w:shd w:val="clear" w:color="auto" w:fill="auto"/>
            <w:vAlign w:val="center"/>
          </w:tcPr>
          <w:p w14:paraId="258E4190" w14:textId="77777777" w:rsidR="00D05F2D" w:rsidRPr="00A43293" w:rsidRDefault="00D05F2D" w:rsidP="00095CF0">
            <w:pPr>
              <w:rPr>
                <w:sz w:val="18"/>
                <w:szCs w:val="18"/>
              </w:rPr>
            </w:pPr>
          </w:p>
        </w:tc>
        <w:tc>
          <w:tcPr>
            <w:tcW w:w="964" w:type="dxa"/>
            <w:tcBorders>
              <w:top w:val="single" w:sz="4" w:space="0" w:color="auto"/>
              <w:bottom w:val="single" w:sz="4" w:space="0" w:color="auto"/>
            </w:tcBorders>
            <w:shd w:val="clear" w:color="auto" w:fill="auto"/>
            <w:vAlign w:val="center"/>
          </w:tcPr>
          <w:p w14:paraId="5D75E5B0" w14:textId="77777777" w:rsidR="00D05F2D" w:rsidRPr="00A43293" w:rsidRDefault="00D05F2D" w:rsidP="00095CF0">
            <w:pPr>
              <w:jc w:val="center"/>
              <w:rPr>
                <w:sz w:val="18"/>
                <w:szCs w:val="18"/>
                <w:lang w:eastAsia="de-DE"/>
              </w:rPr>
            </w:pPr>
            <w:r w:rsidRPr="00A43293">
              <w:rPr>
                <w:sz w:val="18"/>
                <w:szCs w:val="18"/>
                <w:lang w:eastAsia="de-DE"/>
              </w:rPr>
              <w:t>12 / 24</w:t>
            </w:r>
          </w:p>
        </w:tc>
        <w:tc>
          <w:tcPr>
            <w:tcW w:w="236" w:type="dxa"/>
            <w:shd w:val="clear" w:color="auto" w:fill="auto"/>
            <w:vAlign w:val="center"/>
          </w:tcPr>
          <w:p w14:paraId="0EF96982" w14:textId="77777777" w:rsidR="00D05F2D" w:rsidRPr="00A43293" w:rsidRDefault="00D05F2D" w:rsidP="00095CF0">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1151482B" w14:textId="77777777" w:rsidR="00D05F2D" w:rsidRPr="00A43293" w:rsidRDefault="00D05F2D" w:rsidP="00095CF0">
            <w:pPr>
              <w:jc w:val="center"/>
              <w:rPr>
                <w:sz w:val="18"/>
                <w:szCs w:val="18"/>
                <w:lang w:eastAsia="de-DE"/>
              </w:rPr>
            </w:pPr>
            <w:r w:rsidRPr="00A43293">
              <w:rPr>
                <w:sz w:val="18"/>
                <w:szCs w:val="18"/>
                <w:lang w:eastAsia="de-DE"/>
              </w:rPr>
              <w:t>1.8</w:t>
            </w:r>
          </w:p>
        </w:tc>
        <w:tc>
          <w:tcPr>
            <w:tcW w:w="236" w:type="dxa"/>
            <w:shd w:val="clear" w:color="auto" w:fill="auto"/>
          </w:tcPr>
          <w:p w14:paraId="764A45FA" w14:textId="77777777" w:rsidR="00D05F2D" w:rsidRPr="00A43293" w:rsidRDefault="00D05F2D" w:rsidP="00095CF0">
            <w:pPr>
              <w:jc w:val="center"/>
              <w:rPr>
                <w:sz w:val="18"/>
                <w:szCs w:val="18"/>
                <w:lang w:eastAsia="de-DE"/>
              </w:rPr>
            </w:pPr>
          </w:p>
        </w:tc>
        <w:tc>
          <w:tcPr>
            <w:tcW w:w="1191" w:type="dxa"/>
            <w:tcBorders>
              <w:top w:val="single" w:sz="4" w:space="0" w:color="auto"/>
              <w:bottom w:val="single" w:sz="4" w:space="0" w:color="auto"/>
            </w:tcBorders>
          </w:tcPr>
          <w:p w14:paraId="1A6B760B" w14:textId="77777777" w:rsidR="00D05F2D" w:rsidRPr="00A43293" w:rsidRDefault="00D05F2D" w:rsidP="00095CF0">
            <w:pPr>
              <w:jc w:val="center"/>
              <w:rPr>
                <w:sz w:val="18"/>
                <w:szCs w:val="18"/>
              </w:rPr>
            </w:pPr>
            <w:r w:rsidRPr="00A43293">
              <w:rPr>
                <w:sz w:val="18"/>
                <w:szCs w:val="18"/>
              </w:rPr>
              <w:t>20</w:t>
            </w:r>
          </w:p>
        </w:tc>
        <w:tc>
          <w:tcPr>
            <w:tcW w:w="236" w:type="dxa"/>
          </w:tcPr>
          <w:p w14:paraId="279C3EF7" w14:textId="77777777" w:rsidR="00D05F2D" w:rsidRPr="00A43293" w:rsidRDefault="00D05F2D" w:rsidP="00095CF0">
            <w:pPr>
              <w:jc w:val="center"/>
              <w:rPr>
                <w:sz w:val="18"/>
                <w:szCs w:val="18"/>
              </w:rPr>
            </w:pPr>
          </w:p>
        </w:tc>
        <w:tc>
          <w:tcPr>
            <w:tcW w:w="1134" w:type="dxa"/>
            <w:tcBorders>
              <w:top w:val="single" w:sz="4" w:space="0" w:color="auto"/>
              <w:bottom w:val="single" w:sz="4" w:space="0" w:color="auto"/>
            </w:tcBorders>
            <w:shd w:val="clear" w:color="auto" w:fill="auto"/>
            <w:vAlign w:val="center"/>
          </w:tcPr>
          <w:p w14:paraId="302861B3" w14:textId="77777777" w:rsidR="00D05F2D" w:rsidRPr="00A43293" w:rsidRDefault="00D05F2D" w:rsidP="00095CF0">
            <w:pPr>
              <w:jc w:val="center"/>
              <w:rPr>
                <w:sz w:val="18"/>
                <w:szCs w:val="18"/>
              </w:rPr>
            </w:pPr>
            <w:r w:rsidRPr="00A43293">
              <w:rPr>
                <w:sz w:val="18"/>
                <w:szCs w:val="18"/>
              </w:rPr>
              <w:t>77</w:t>
            </w:r>
          </w:p>
        </w:tc>
        <w:tc>
          <w:tcPr>
            <w:tcW w:w="236" w:type="dxa"/>
            <w:shd w:val="clear" w:color="auto" w:fill="auto"/>
            <w:vAlign w:val="center"/>
          </w:tcPr>
          <w:p w14:paraId="1838CCF2" w14:textId="77777777" w:rsidR="00D05F2D" w:rsidRPr="00A43293" w:rsidRDefault="00D05F2D" w:rsidP="00095CF0">
            <w:pPr>
              <w:rPr>
                <w:sz w:val="18"/>
                <w:szCs w:val="18"/>
              </w:rPr>
            </w:pPr>
          </w:p>
        </w:tc>
        <w:tc>
          <w:tcPr>
            <w:tcW w:w="1716" w:type="dxa"/>
            <w:tcBorders>
              <w:top w:val="single" w:sz="4" w:space="0" w:color="auto"/>
              <w:bottom w:val="single" w:sz="4" w:space="0" w:color="auto"/>
            </w:tcBorders>
            <w:shd w:val="clear" w:color="auto" w:fill="auto"/>
            <w:vAlign w:val="center"/>
          </w:tcPr>
          <w:p w14:paraId="561B2D3D" w14:textId="77777777" w:rsidR="00D05F2D" w:rsidRPr="00A43293" w:rsidRDefault="00D05F2D" w:rsidP="00095CF0">
            <w:pPr>
              <w:ind w:right="29"/>
              <w:jc w:val="center"/>
              <w:rPr>
                <w:sz w:val="18"/>
                <w:szCs w:val="18"/>
              </w:rPr>
            </w:pPr>
            <w:r w:rsidRPr="00A43293">
              <w:rPr>
                <w:sz w:val="18"/>
                <w:szCs w:val="18"/>
              </w:rPr>
              <w:t>Ampliado</w:t>
            </w:r>
          </w:p>
        </w:tc>
      </w:tr>
      <w:tr w:rsidR="00D05F2D" w:rsidRPr="00A43293" w14:paraId="6C72FD5D" w14:textId="77777777" w:rsidTr="00095CF0">
        <w:tc>
          <w:tcPr>
            <w:tcW w:w="2041" w:type="dxa"/>
            <w:tcBorders>
              <w:top w:val="single" w:sz="4" w:space="0" w:color="auto"/>
              <w:bottom w:val="single" w:sz="4" w:space="0" w:color="auto"/>
            </w:tcBorders>
            <w:shd w:val="clear" w:color="auto" w:fill="auto"/>
            <w:vAlign w:val="center"/>
          </w:tcPr>
          <w:p w14:paraId="76E84EAA" w14:textId="77777777" w:rsidR="00D05F2D" w:rsidRPr="00A43293" w:rsidRDefault="00D05F2D" w:rsidP="00095CF0">
            <w:pPr>
              <w:rPr>
                <w:sz w:val="18"/>
                <w:szCs w:val="18"/>
                <w:lang w:eastAsia="de-DE"/>
              </w:rPr>
            </w:pPr>
            <w:r w:rsidRPr="00A43293">
              <w:rPr>
                <w:sz w:val="18"/>
                <w:szCs w:val="18"/>
                <w:lang w:eastAsia="de-DE"/>
              </w:rPr>
              <w:t>Intel Xeon D-2733NT</w:t>
            </w:r>
          </w:p>
        </w:tc>
        <w:tc>
          <w:tcPr>
            <w:tcW w:w="283" w:type="dxa"/>
            <w:shd w:val="clear" w:color="auto" w:fill="auto"/>
            <w:vAlign w:val="center"/>
          </w:tcPr>
          <w:p w14:paraId="491ED2A8" w14:textId="77777777" w:rsidR="00D05F2D" w:rsidRPr="00A43293" w:rsidRDefault="00D05F2D" w:rsidP="00095CF0">
            <w:pPr>
              <w:rPr>
                <w:sz w:val="18"/>
                <w:szCs w:val="18"/>
              </w:rPr>
            </w:pPr>
          </w:p>
        </w:tc>
        <w:tc>
          <w:tcPr>
            <w:tcW w:w="964" w:type="dxa"/>
            <w:tcBorders>
              <w:top w:val="single" w:sz="4" w:space="0" w:color="auto"/>
              <w:bottom w:val="single" w:sz="4" w:space="0" w:color="auto"/>
            </w:tcBorders>
            <w:shd w:val="clear" w:color="auto" w:fill="auto"/>
            <w:vAlign w:val="center"/>
          </w:tcPr>
          <w:p w14:paraId="3E845D75" w14:textId="77777777" w:rsidR="00D05F2D" w:rsidRPr="00A43293" w:rsidRDefault="00D05F2D" w:rsidP="00095CF0">
            <w:pPr>
              <w:jc w:val="center"/>
              <w:rPr>
                <w:sz w:val="18"/>
                <w:szCs w:val="18"/>
                <w:lang w:eastAsia="de-DE"/>
              </w:rPr>
            </w:pPr>
            <w:r w:rsidRPr="00A43293">
              <w:rPr>
                <w:sz w:val="18"/>
                <w:szCs w:val="18"/>
                <w:lang w:eastAsia="de-DE"/>
              </w:rPr>
              <w:t>8 / 16</w:t>
            </w:r>
          </w:p>
        </w:tc>
        <w:tc>
          <w:tcPr>
            <w:tcW w:w="236" w:type="dxa"/>
            <w:shd w:val="clear" w:color="auto" w:fill="auto"/>
            <w:vAlign w:val="center"/>
          </w:tcPr>
          <w:p w14:paraId="770236F4" w14:textId="77777777" w:rsidR="00D05F2D" w:rsidRPr="00A43293" w:rsidRDefault="00D05F2D" w:rsidP="00095CF0">
            <w:pPr>
              <w:jc w:val="center"/>
              <w:rPr>
                <w:sz w:val="18"/>
                <w:szCs w:val="18"/>
                <w:lang w:eastAsia="de-DE"/>
              </w:rPr>
            </w:pPr>
          </w:p>
        </w:tc>
        <w:tc>
          <w:tcPr>
            <w:tcW w:w="907" w:type="dxa"/>
            <w:tcBorders>
              <w:top w:val="single" w:sz="4" w:space="0" w:color="auto"/>
              <w:bottom w:val="single" w:sz="4" w:space="0" w:color="auto"/>
            </w:tcBorders>
            <w:shd w:val="clear" w:color="auto" w:fill="auto"/>
            <w:vAlign w:val="center"/>
          </w:tcPr>
          <w:p w14:paraId="2B032C99" w14:textId="77777777" w:rsidR="00D05F2D" w:rsidRPr="00A43293" w:rsidRDefault="00D05F2D" w:rsidP="00095CF0">
            <w:pPr>
              <w:jc w:val="center"/>
              <w:rPr>
                <w:sz w:val="18"/>
                <w:szCs w:val="18"/>
                <w:lang w:eastAsia="de-DE"/>
              </w:rPr>
            </w:pPr>
            <w:r w:rsidRPr="00A43293">
              <w:rPr>
                <w:sz w:val="18"/>
                <w:szCs w:val="18"/>
                <w:lang w:eastAsia="de-DE"/>
              </w:rPr>
              <w:t>2.1</w:t>
            </w:r>
          </w:p>
        </w:tc>
        <w:tc>
          <w:tcPr>
            <w:tcW w:w="236" w:type="dxa"/>
            <w:shd w:val="clear" w:color="auto" w:fill="auto"/>
          </w:tcPr>
          <w:p w14:paraId="33D2AA19" w14:textId="77777777" w:rsidR="00D05F2D" w:rsidRPr="00A43293" w:rsidRDefault="00D05F2D" w:rsidP="00095CF0">
            <w:pPr>
              <w:jc w:val="center"/>
              <w:rPr>
                <w:sz w:val="18"/>
                <w:szCs w:val="18"/>
                <w:lang w:eastAsia="de-DE"/>
              </w:rPr>
            </w:pPr>
          </w:p>
        </w:tc>
        <w:tc>
          <w:tcPr>
            <w:tcW w:w="1191" w:type="dxa"/>
            <w:tcBorders>
              <w:top w:val="single" w:sz="4" w:space="0" w:color="auto"/>
              <w:bottom w:val="single" w:sz="4" w:space="0" w:color="auto"/>
            </w:tcBorders>
          </w:tcPr>
          <w:p w14:paraId="33D4439F" w14:textId="77777777" w:rsidR="00D05F2D" w:rsidRPr="00A43293" w:rsidRDefault="00D05F2D" w:rsidP="00095CF0">
            <w:pPr>
              <w:jc w:val="center"/>
              <w:rPr>
                <w:sz w:val="18"/>
                <w:szCs w:val="18"/>
              </w:rPr>
            </w:pPr>
            <w:r w:rsidRPr="00A43293">
              <w:rPr>
                <w:sz w:val="18"/>
                <w:szCs w:val="18"/>
              </w:rPr>
              <w:t>15</w:t>
            </w:r>
          </w:p>
        </w:tc>
        <w:tc>
          <w:tcPr>
            <w:tcW w:w="236" w:type="dxa"/>
          </w:tcPr>
          <w:p w14:paraId="7132E9A0" w14:textId="77777777" w:rsidR="00D05F2D" w:rsidRPr="00A43293" w:rsidRDefault="00D05F2D" w:rsidP="00095CF0">
            <w:pPr>
              <w:jc w:val="center"/>
              <w:rPr>
                <w:sz w:val="18"/>
                <w:szCs w:val="18"/>
              </w:rPr>
            </w:pPr>
          </w:p>
        </w:tc>
        <w:tc>
          <w:tcPr>
            <w:tcW w:w="1134" w:type="dxa"/>
            <w:tcBorders>
              <w:top w:val="single" w:sz="4" w:space="0" w:color="auto"/>
              <w:bottom w:val="single" w:sz="4" w:space="0" w:color="auto"/>
            </w:tcBorders>
            <w:shd w:val="clear" w:color="auto" w:fill="auto"/>
            <w:vAlign w:val="center"/>
          </w:tcPr>
          <w:p w14:paraId="4939882D" w14:textId="77777777" w:rsidR="00D05F2D" w:rsidRPr="00A43293" w:rsidRDefault="00D05F2D" w:rsidP="00095CF0">
            <w:pPr>
              <w:jc w:val="center"/>
              <w:rPr>
                <w:sz w:val="18"/>
                <w:szCs w:val="18"/>
              </w:rPr>
            </w:pPr>
            <w:r w:rsidRPr="00A43293">
              <w:rPr>
                <w:sz w:val="18"/>
                <w:szCs w:val="18"/>
              </w:rPr>
              <w:t>80</w:t>
            </w:r>
          </w:p>
        </w:tc>
        <w:tc>
          <w:tcPr>
            <w:tcW w:w="236" w:type="dxa"/>
            <w:shd w:val="clear" w:color="auto" w:fill="auto"/>
            <w:vAlign w:val="center"/>
          </w:tcPr>
          <w:p w14:paraId="3F29F34D" w14:textId="77777777" w:rsidR="00D05F2D" w:rsidRPr="00A43293" w:rsidRDefault="00D05F2D" w:rsidP="00095CF0">
            <w:pPr>
              <w:rPr>
                <w:sz w:val="18"/>
                <w:szCs w:val="18"/>
              </w:rPr>
            </w:pPr>
          </w:p>
        </w:tc>
        <w:tc>
          <w:tcPr>
            <w:tcW w:w="1716" w:type="dxa"/>
            <w:tcBorders>
              <w:top w:val="single" w:sz="4" w:space="0" w:color="auto"/>
              <w:bottom w:val="single" w:sz="4" w:space="0" w:color="auto"/>
            </w:tcBorders>
            <w:shd w:val="clear" w:color="auto" w:fill="auto"/>
            <w:vAlign w:val="center"/>
          </w:tcPr>
          <w:p w14:paraId="4767995A" w14:textId="77777777" w:rsidR="00D05F2D" w:rsidRPr="00A43293" w:rsidRDefault="00D05F2D" w:rsidP="00095CF0">
            <w:pPr>
              <w:ind w:right="29"/>
              <w:jc w:val="center"/>
              <w:rPr>
                <w:sz w:val="18"/>
                <w:szCs w:val="18"/>
              </w:rPr>
            </w:pPr>
            <w:r w:rsidRPr="00A43293">
              <w:rPr>
                <w:sz w:val="18"/>
                <w:szCs w:val="18"/>
              </w:rPr>
              <w:t>Comercial</w:t>
            </w:r>
          </w:p>
        </w:tc>
      </w:tr>
      <w:tr w:rsidR="00D05F2D" w:rsidRPr="00A43293" w14:paraId="67C222A4" w14:textId="77777777" w:rsidTr="00095CF0">
        <w:tc>
          <w:tcPr>
            <w:tcW w:w="2041" w:type="dxa"/>
            <w:tcBorders>
              <w:top w:val="single" w:sz="4" w:space="0" w:color="auto"/>
            </w:tcBorders>
            <w:shd w:val="clear" w:color="auto" w:fill="auto"/>
            <w:vAlign w:val="center"/>
          </w:tcPr>
          <w:p w14:paraId="126ED9AA" w14:textId="77777777" w:rsidR="00D05F2D" w:rsidRPr="00A43293" w:rsidRDefault="00D05F2D" w:rsidP="00095CF0">
            <w:pPr>
              <w:rPr>
                <w:sz w:val="18"/>
                <w:szCs w:val="18"/>
                <w:lang w:eastAsia="de-DE"/>
              </w:rPr>
            </w:pPr>
            <w:r w:rsidRPr="00A43293">
              <w:rPr>
                <w:sz w:val="18"/>
                <w:szCs w:val="18"/>
                <w:lang w:eastAsia="de-DE"/>
              </w:rPr>
              <w:t>Intel Xeon D-2712T</w:t>
            </w:r>
          </w:p>
        </w:tc>
        <w:tc>
          <w:tcPr>
            <w:tcW w:w="283" w:type="dxa"/>
            <w:shd w:val="clear" w:color="auto" w:fill="auto"/>
            <w:vAlign w:val="center"/>
          </w:tcPr>
          <w:p w14:paraId="41A1126B" w14:textId="77777777" w:rsidR="00D05F2D" w:rsidRPr="00A43293" w:rsidRDefault="00D05F2D" w:rsidP="00095CF0">
            <w:pPr>
              <w:rPr>
                <w:sz w:val="18"/>
                <w:szCs w:val="18"/>
              </w:rPr>
            </w:pPr>
          </w:p>
        </w:tc>
        <w:tc>
          <w:tcPr>
            <w:tcW w:w="964" w:type="dxa"/>
            <w:tcBorders>
              <w:top w:val="single" w:sz="4" w:space="0" w:color="auto"/>
            </w:tcBorders>
            <w:shd w:val="clear" w:color="auto" w:fill="auto"/>
            <w:vAlign w:val="center"/>
          </w:tcPr>
          <w:p w14:paraId="5B4C6D88" w14:textId="77777777" w:rsidR="00D05F2D" w:rsidRPr="00A43293" w:rsidRDefault="00D05F2D" w:rsidP="00095CF0">
            <w:pPr>
              <w:jc w:val="center"/>
              <w:rPr>
                <w:sz w:val="18"/>
                <w:szCs w:val="18"/>
                <w:lang w:eastAsia="de-DE"/>
              </w:rPr>
            </w:pPr>
            <w:r w:rsidRPr="00A43293">
              <w:rPr>
                <w:sz w:val="18"/>
                <w:szCs w:val="18"/>
                <w:lang w:eastAsia="de-DE"/>
              </w:rPr>
              <w:t>4 / 8</w:t>
            </w:r>
          </w:p>
        </w:tc>
        <w:tc>
          <w:tcPr>
            <w:tcW w:w="236" w:type="dxa"/>
            <w:shd w:val="clear" w:color="auto" w:fill="auto"/>
            <w:vAlign w:val="center"/>
          </w:tcPr>
          <w:p w14:paraId="1E12F25E" w14:textId="77777777" w:rsidR="00D05F2D" w:rsidRPr="00A43293" w:rsidRDefault="00D05F2D" w:rsidP="00095CF0">
            <w:pPr>
              <w:jc w:val="center"/>
              <w:rPr>
                <w:sz w:val="18"/>
                <w:szCs w:val="18"/>
                <w:lang w:eastAsia="de-DE"/>
              </w:rPr>
            </w:pPr>
          </w:p>
        </w:tc>
        <w:tc>
          <w:tcPr>
            <w:tcW w:w="907" w:type="dxa"/>
            <w:tcBorders>
              <w:top w:val="single" w:sz="4" w:space="0" w:color="auto"/>
            </w:tcBorders>
            <w:shd w:val="clear" w:color="auto" w:fill="auto"/>
            <w:vAlign w:val="center"/>
          </w:tcPr>
          <w:p w14:paraId="57E8D292" w14:textId="77777777" w:rsidR="00D05F2D" w:rsidRPr="00A43293" w:rsidRDefault="00D05F2D" w:rsidP="00095CF0">
            <w:pPr>
              <w:jc w:val="center"/>
              <w:rPr>
                <w:sz w:val="18"/>
                <w:szCs w:val="18"/>
                <w:lang w:eastAsia="de-DE"/>
              </w:rPr>
            </w:pPr>
            <w:r w:rsidRPr="00A43293">
              <w:rPr>
                <w:sz w:val="18"/>
                <w:szCs w:val="18"/>
                <w:lang w:eastAsia="de-DE"/>
              </w:rPr>
              <w:t>1.9</w:t>
            </w:r>
          </w:p>
        </w:tc>
        <w:tc>
          <w:tcPr>
            <w:tcW w:w="236" w:type="dxa"/>
            <w:shd w:val="clear" w:color="auto" w:fill="auto"/>
          </w:tcPr>
          <w:p w14:paraId="19E2FD63" w14:textId="77777777" w:rsidR="00D05F2D" w:rsidRPr="00A43293" w:rsidRDefault="00D05F2D" w:rsidP="00095CF0">
            <w:pPr>
              <w:jc w:val="center"/>
              <w:rPr>
                <w:sz w:val="18"/>
                <w:szCs w:val="18"/>
                <w:lang w:eastAsia="de-DE"/>
              </w:rPr>
            </w:pPr>
          </w:p>
        </w:tc>
        <w:tc>
          <w:tcPr>
            <w:tcW w:w="1191" w:type="dxa"/>
            <w:tcBorders>
              <w:top w:val="single" w:sz="4" w:space="0" w:color="auto"/>
            </w:tcBorders>
          </w:tcPr>
          <w:p w14:paraId="341F8A58" w14:textId="77777777" w:rsidR="00D05F2D" w:rsidRPr="00A43293" w:rsidRDefault="00D05F2D" w:rsidP="00095CF0">
            <w:pPr>
              <w:jc w:val="center"/>
              <w:rPr>
                <w:sz w:val="18"/>
                <w:szCs w:val="18"/>
              </w:rPr>
            </w:pPr>
            <w:r w:rsidRPr="00A43293">
              <w:rPr>
                <w:sz w:val="18"/>
                <w:szCs w:val="18"/>
              </w:rPr>
              <w:t>15</w:t>
            </w:r>
          </w:p>
        </w:tc>
        <w:tc>
          <w:tcPr>
            <w:tcW w:w="236" w:type="dxa"/>
          </w:tcPr>
          <w:p w14:paraId="390B2178" w14:textId="77777777" w:rsidR="00D05F2D" w:rsidRPr="00A43293" w:rsidRDefault="00D05F2D" w:rsidP="00095CF0">
            <w:pPr>
              <w:jc w:val="center"/>
              <w:rPr>
                <w:sz w:val="18"/>
                <w:szCs w:val="18"/>
              </w:rPr>
            </w:pPr>
          </w:p>
        </w:tc>
        <w:tc>
          <w:tcPr>
            <w:tcW w:w="1134" w:type="dxa"/>
            <w:tcBorders>
              <w:top w:val="single" w:sz="4" w:space="0" w:color="auto"/>
            </w:tcBorders>
            <w:shd w:val="clear" w:color="auto" w:fill="auto"/>
            <w:vAlign w:val="center"/>
          </w:tcPr>
          <w:p w14:paraId="7B0FC7B7" w14:textId="77777777" w:rsidR="00D05F2D" w:rsidRPr="00A43293" w:rsidRDefault="00D05F2D" w:rsidP="00095CF0">
            <w:pPr>
              <w:jc w:val="center"/>
              <w:rPr>
                <w:sz w:val="18"/>
                <w:szCs w:val="18"/>
              </w:rPr>
            </w:pPr>
            <w:r w:rsidRPr="00A43293">
              <w:rPr>
                <w:sz w:val="18"/>
                <w:szCs w:val="18"/>
              </w:rPr>
              <w:t>65</w:t>
            </w:r>
          </w:p>
        </w:tc>
        <w:tc>
          <w:tcPr>
            <w:tcW w:w="236" w:type="dxa"/>
            <w:shd w:val="clear" w:color="auto" w:fill="auto"/>
            <w:vAlign w:val="center"/>
          </w:tcPr>
          <w:p w14:paraId="276DB07E" w14:textId="77777777" w:rsidR="00D05F2D" w:rsidRPr="00A43293" w:rsidRDefault="00D05F2D" w:rsidP="00095CF0">
            <w:pPr>
              <w:rPr>
                <w:sz w:val="18"/>
                <w:szCs w:val="18"/>
              </w:rPr>
            </w:pPr>
          </w:p>
        </w:tc>
        <w:tc>
          <w:tcPr>
            <w:tcW w:w="1716" w:type="dxa"/>
            <w:tcBorders>
              <w:top w:val="single" w:sz="4" w:space="0" w:color="auto"/>
            </w:tcBorders>
            <w:shd w:val="clear" w:color="auto" w:fill="auto"/>
            <w:vAlign w:val="center"/>
          </w:tcPr>
          <w:p w14:paraId="361892BD" w14:textId="77777777" w:rsidR="00D05F2D" w:rsidRPr="00A43293" w:rsidRDefault="00D05F2D" w:rsidP="00095CF0">
            <w:pPr>
              <w:ind w:right="29"/>
              <w:jc w:val="center"/>
              <w:rPr>
                <w:sz w:val="18"/>
                <w:szCs w:val="18"/>
              </w:rPr>
            </w:pPr>
            <w:r w:rsidRPr="00A43293">
              <w:rPr>
                <w:sz w:val="18"/>
                <w:szCs w:val="18"/>
              </w:rPr>
              <w:t>Comercial</w:t>
            </w:r>
          </w:p>
        </w:tc>
      </w:tr>
    </w:tbl>
    <w:p w14:paraId="1DB7E072" w14:textId="77777777" w:rsidR="00D05F2D" w:rsidRPr="00A43293" w:rsidRDefault="00D05F2D" w:rsidP="00D05F2D">
      <w:pPr>
        <w:rPr>
          <w:kern w:val="2"/>
        </w:rPr>
      </w:pPr>
    </w:p>
    <w:p w14:paraId="322A3A59" w14:textId="4BDE1F4E" w:rsidR="00D05F2D" w:rsidRPr="00A43293" w:rsidRDefault="00D05F2D" w:rsidP="00D05F2D">
      <w:pPr>
        <w:rPr>
          <w:kern w:val="2"/>
        </w:rPr>
      </w:pPr>
      <w:r w:rsidRPr="00A43293">
        <w:rPr>
          <w:kern w:val="2"/>
        </w:rPr>
        <w:t xml:space="preserve">Para más información sobre </w:t>
      </w:r>
      <w:r w:rsidR="004F52E5">
        <w:rPr>
          <w:kern w:val="2"/>
        </w:rPr>
        <w:t>los</w:t>
      </w:r>
      <w:r w:rsidR="004F52E5" w:rsidRPr="00A43293">
        <w:rPr>
          <w:kern w:val="2"/>
        </w:rPr>
        <w:t xml:space="preserve"> </w:t>
      </w:r>
      <w:r w:rsidRPr="00A43293">
        <w:rPr>
          <w:kern w:val="2"/>
        </w:rPr>
        <w:t xml:space="preserve">módulos servidor conga-HPC/sILH COM-HPC Size D, visite: </w:t>
      </w:r>
      <w:hyperlink r:id="rId10" w:history="1">
        <w:r w:rsidRPr="00A43293">
          <w:rPr>
            <w:rStyle w:val="Hyperlink"/>
          </w:rPr>
          <w:t>https://www.congatec.com/en/products/com-hpc/conga-hpcsilh/</w:t>
        </w:r>
      </w:hyperlink>
    </w:p>
    <w:p w14:paraId="190D465F" w14:textId="77777777" w:rsidR="00D05F2D" w:rsidRPr="00A43293" w:rsidRDefault="00D05F2D" w:rsidP="00D05F2D">
      <w:pPr>
        <w:rPr>
          <w:kern w:val="2"/>
        </w:rPr>
      </w:pPr>
    </w:p>
    <w:p w14:paraId="2D515C6A" w14:textId="77777777" w:rsidR="00D05F2D" w:rsidRPr="00A43293" w:rsidRDefault="00D05F2D" w:rsidP="00D05F2D">
      <w:pPr>
        <w:pStyle w:val="Kommentartext"/>
        <w:rPr>
          <w:sz w:val="22"/>
          <w:szCs w:val="22"/>
        </w:rPr>
      </w:pPr>
      <w:r w:rsidRPr="00A43293">
        <w:rPr>
          <w:sz w:val="22"/>
          <w:szCs w:val="22"/>
        </w:rPr>
        <w:t xml:space="preserve">Puede encontrar más información sobre los nuevos procesadores Intel Xeon D-2700 en la página web principal: </w:t>
      </w:r>
      <w:hyperlink r:id="rId11" w:history="1">
        <w:r w:rsidRPr="00A43293">
          <w:rPr>
            <w:rStyle w:val="Hyperlink"/>
            <w:sz w:val="22"/>
            <w:szCs w:val="22"/>
          </w:rPr>
          <w:t>https://www.congatec.com/en/technologies/intel-xeon-d-modules/</w:t>
        </w:r>
      </w:hyperlink>
      <w:r w:rsidRPr="00A43293">
        <w:rPr>
          <w:sz w:val="22"/>
          <w:szCs w:val="22"/>
        </w:rPr>
        <w:t xml:space="preserve"> </w:t>
      </w:r>
    </w:p>
    <w:p w14:paraId="56068E56" w14:textId="77777777" w:rsidR="00673527" w:rsidRPr="00EE2731" w:rsidRDefault="00673527" w:rsidP="00A562AA"/>
    <w:p w14:paraId="548F6E21" w14:textId="77777777" w:rsidR="00F76F29" w:rsidRPr="00EE2731" w:rsidRDefault="00F76F29" w:rsidP="00814905">
      <w:pPr>
        <w:jc w:val="center"/>
      </w:pPr>
      <w:r w:rsidRPr="00EE2731">
        <w:t>* * *</w:t>
      </w:r>
    </w:p>
    <w:p w14:paraId="1D80CF9E" w14:textId="77777777" w:rsidR="0035632F" w:rsidRDefault="0035632F" w:rsidP="00A562AA"/>
    <w:p w14:paraId="71A99BE4" w14:textId="77777777" w:rsidR="00E3139F" w:rsidRPr="004F52E5" w:rsidRDefault="00E3139F" w:rsidP="00B03720">
      <w:pPr>
        <w:pStyle w:val="xxmsonormal"/>
        <w:spacing w:line="240" w:lineRule="auto"/>
        <w:rPr>
          <w:rFonts w:ascii="Arial" w:hAnsi="Arial" w:cs="Arial"/>
          <w:b/>
          <w:sz w:val="16"/>
          <w:szCs w:val="16"/>
        </w:rPr>
      </w:pPr>
      <w:r w:rsidRPr="004F52E5">
        <w:rPr>
          <w:rFonts w:ascii="Arial" w:hAnsi="Arial" w:cs="Arial"/>
          <w:b/>
          <w:sz w:val="16"/>
          <w:szCs w:val="16"/>
        </w:rPr>
        <w:t xml:space="preserve">Sobre congatec </w:t>
      </w:r>
    </w:p>
    <w:p w14:paraId="12CE5C36" w14:textId="3F440DF2" w:rsidR="00E3139F" w:rsidRPr="00B03720" w:rsidRDefault="00E3139F" w:rsidP="00B03720">
      <w:pPr>
        <w:pStyle w:val="xxstandard1"/>
        <w:spacing w:line="240" w:lineRule="auto"/>
        <w:rPr>
          <w:sz w:val="16"/>
          <w:szCs w:val="16"/>
        </w:rPr>
      </w:pPr>
      <w:r w:rsidRPr="00B03720">
        <w:rPr>
          <w:sz w:val="16"/>
          <w:szCs w:val="16"/>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2" w:history="1">
        <w:r w:rsidRPr="00B03720">
          <w:rPr>
            <w:rStyle w:val="Hyperlink"/>
            <w:sz w:val="16"/>
            <w:szCs w:val="16"/>
          </w:rPr>
          <w:t>www.congatec.com</w:t>
        </w:r>
      </w:hyperlink>
      <w:r w:rsidRPr="00B03720">
        <w:rPr>
          <w:sz w:val="16"/>
          <w:szCs w:val="16"/>
        </w:rPr>
        <w:t xml:space="preserve"> o via </w:t>
      </w:r>
      <w:hyperlink r:id="rId13" w:history="1">
        <w:r w:rsidRPr="00B03720">
          <w:rPr>
            <w:rStyle w:val="Hyperlink"/>
            <w:sz w:val="16"/>
            <w:szCs w:val="16"/>
          </w:rPr>
          <w:t>LinkedIn</w:t>
        </w:r>
      </w:hyperlink>
      <w:r w:rsidRPr="00B03720">
        <w:rPr>
          <w:sz w:val="16"/>
          <w:szCs w:val="16"/>
        </w:rPr>
        <w:t xml:space="preserve">, </w:t>
      </w:r>
      <w:hyperlink r:id="rId14" w:history="1">
        <w:r w:rsidRPr="00B03720">
          <w:rPr>
            <w:rStyle w:val="Hyperlink"/>
            <w:sz w:val="16"/>
            <w:szCs w:val="16"/>
          </w:rPr>
          <w:t>Twitter</w:t>
        </w:r>
      </w:hyperlink>
      <w:r w:rsidRPr="00B03720">
        <w:rPr>
          <w:sz w:val="16"/>
          <w:szCs w:val="16"/>
        </w:rPr>
        <w:t xml:space="preserve"> y </w:t>
      </w:r>
      <w:hyperlink r:id="rId15" w:history="1">
        <w:r w:rsidRPr="00B03720">
          <w:rPr>
            <w:rStyle w:val="Hyperlink"/>
            <w:sz w:val="16"/>
            <w:szCs w:val="16"/>
          </w:rPr>
          <w:t>YouTube</w:t>
        </w:r>
      </w:hyperlink>
      <w:r w:rsidRPr="00B03720">
        <w:rPr>
          <w:sz w:val="16"/>
          <w:szCs w:val="16"/>
        </w:rPr>
        <w:t>.</w:t>
      </w:r>
    </w:p>
    <w:p w14:paraId="11B44A21" w14:textId="77777777" w:rsidR="00001D61" w:rsidRDefault="00001D61" w:rsidP="00A562AA"/>
    <w:p w14:paraId="4C8C848B" w14:textId="77777777" w:rsidR="00B66783" w:rsidRDefault="00B66783" w:rsidP="00A562AA"/>
    <w:tbl>
      <w:tblPr>
        <w:tblW w:w="0" w:type="auto"/>
        <w:tblLayout w:type="fixed"/>
        <w:tblCellMar>
          <w:left w:w="0" w:type="dxa"/>
          <w:right w:w="0" w:type="dxa"/>
        </w:tblCellMar>
        <w:tblLook w:val="0000" w:firstRow="0" w:lastRow="0" w:firstColumn="0" w:lastColumn="0" w:noHBand="0" w:noVBand="0"/>
      </w:tblPr>
      <w:tblGrid>
        <w:gridCol w:w="3119"/>
        <w:gridCol w:w="2977"/>
      </w:tblGrid>
      <w:tr w:rsidR="00B66783" w:rsidRPr="00DF2C9B" w14:paraId="60DAC666" w14:textId="77777777" w:rsidTr="009162DE">
        <w:trPr>
          <w:trHeight w:val="270"/>
        </w:trPr>
        <w:tc>
          <w:tcPr>
            <w:tcW w:w="3119" w:type="dxa"/>
            <w:shd w:val="clear" w:color="auto" w:fill="auto"/>
          </w:tcPr>
          <w:p w14:paraId="45C596F2" w14:textId="77777777" w:rsidR="00E630E8" w:rsidRPr="009162DE" w:rsidRDefault="00E630E8" w:rsidP="0019325B">
            <w:pPr>
              <w:pStyle w:val="Standard1"/>
              <w:snapToGrid w:val="0"/>
              <w:spacing w:line="276" w:lineRule="auto"/>
              <w:ind w:right="-1058"/>
              <w:rPr>
                <w:rFonts w:ascii="Arial" w:hAnsi="Arial" w:cs="Arial"/>
                <w:b/>
                <w:sz w:val="22"/>
                <w:szCs w:val="22"/>
                <w:lang w:val="es-ES"/>
              </w:rPr>
            </w:pPr>
          </w:p>
          <w:p w14:paraId="483CA292" w14:textId="77777777" w:rsidR="00B66783" w:rsidRPr="009162DE" w:rsidRDefault="00B66783" w:rsidP="0019325B">
            <w:pPr>
              <w:pStyle w:val="Standard1"/>
              <w:snapToGrid w:val="0"/>
              <w:spacing w:line="276" w:lineRule="auto"/>
              <w:ind w:right="-1058"/>
              <w:rPr>
                <w:rFonts w:ascii="Arial" w:hAnsi="Arial" w:cs="Arial"/>
                <w:b/>
                <w:sz w:val="22"/>
                <w:szCs w:val="22"/>
                <w:lang w:val="en-US"/>
              </w:rPr>
            </w:pPr>
            <w:r w:rsidRPr="009162DE">
              <w:rPr>
                <w:rFonts w:ascii="Arial" w:hAnsi="Arial" w:cs="Arial"/>
                <w:b/>
                <w:sz w:val="22"/>
                <w:szCs w:val="22"/>
                <w:lang w:val="en-US"/>
              </w:rPr>
              <w:t>Reader Enquiries:</w:t>
            </w:r>
          </w:p>
          <w:p w14:paraId="5935A104" w14:textId="77777777" w:rsidR="00B66783" w:rsidRPr="009162DE" w:rsidRDefault="00B66783" w:rsidP="0019325B">
            <w:pPr>
              <w:pStyle w:val="Standard1"/>
              <w:snapToGrid w:val="0"/>
              <w:spacing w:line="276" w:lineRule="auto"/>
              <w:ind w:right="-1058"/>
              <w:rPr>
                <w:rFonts w:ascii="Arial" w:hAnsi="Arial" w:cs="Arial"/>
                <w:sz w:val="22"/>
                <w:szCs w:val="22"/>
                <w:u w:val="single"/>
                <w:lang w:val="en-US"/>
              </w:rPr>
            </w:pPr>
            <w:r w:rsidRPr="009162DE">
              <w:rPr>
                <w:rFonts w:ascii="Arial" w:hAnsi="Arial" w:cs="Arial"/>
                <w:sz w:val="22"/>
                <w:szCs w:val="22"/>
                <w:lang w:val="en-US"/>
              </w:rPr>
              <w:t>congatec GmbH</w:t>
            </w:r>
          </w:p>
          <w:p w14:paraId="796EF875" w14:textId="77777777" w:rsidR="00B66783" w:rsidRPr="009162DE" w:rsidRDefault="00B66783" w:rsidP="0019325B">
            <w:pPr>
              <w:pStyle w:val="Standard1"/>
              <w:snapToGrid w:val="0"/>
              <w:spacing w:line="276" w:lineRule="auto"/>
              <w:ind w:right="-1058"/>
              <w:rPr>
                <w:rFonts w:ascii="Arial" w:hAnsi="Arial" w:cs="Arial"/>
                <w:b/>
                <w:sz w:val="22"/>
                <w:szCs w:val="22"/>
                <w:u w:val="single"/>
                <w:lang w:val="en-US"/>
              </w:rPr>
            </w:pPr>
            <w:r w:rsidRPr="009162DE">
              <w:rPr>
                <w:rFonts w:ascii="Arial" w:hAnsi="Arial" w:cs="Arial"/>
                <w:sz w:val="22"/>
                <w:szCs w:val="22"/>
                <w:lang w:val="en-US"/>
              </w:rPr>
              <w:t>Christian Eder</w:t>
            </w:r>
          </w:p>
          <w:p w14:paraId="313E90D3" w14:textId="77777777" w:rsidR="00B66783" w:rsidRPr="009162DE" w:rsidRDefault="00B66783" w:rsidP="0019325B">
            <w:pPr>
              <w:pStyle w:val="Standard1"/>
              <w:snapToGrid w:val="0"/>
              <w:spacing w:line="276" w:lineRule="auto"/>
              <w:ind w:right="-1058"/>
              <w:rPr>
                <w:rFonts w:ascii="Arial" w:hAnsi="Arial" w:cs="Arial"/>
                <w:b/>
                <w:sz w:val="22"/>
                <w:szCs w:val="22"/>
                <w:u w:val="single"/>
              </w:rPr>
            </w:pPr>
            <w:r w:rsidRPr="009162DE">
              <w:rPr>
                <w:rFonts w:ascii="Arial" w:hAnsi="Arial" w:cs="Arial"/>
                <w:sz w:val="22"/>
                <w:szCs w:val="22"/>
              </w:rPr>
              <w:t>Telefon: +49-991-2700-0</w:t>
            </w:r>
          </w:p>
          <w:p w14:paraId="4846ACEB" w14:textId="77777777" w:rsidR="00B66783" w:rsidRPr="009162DE" w:rsidRDefault="00824C9E" w:rsidP="0019325B">
            <w:pPr>
              <w:pStyle w:val="Standard1"/>
              <w:snapToGrid w:val="0"/>
              <w:spacing w:line="276" w:lineRule="auto"/>
              <w:rPr>
                <w:rFonts w:ascii="Arial" w:hAnsi="Arial" w:cs="Arial"/>
                <w:sz w:val="22"/>
                <w:szCs w:val="22"/>
              </w:rPr>
            </w:pPr>
            <w:hyperlink r:id="rId16" w:history="1">
              <w:r w:rsidR="00B66783" w:rsidRPr="009162DE">
                <w:rPr>
                  <w:rStyle w:val="Hyperlink"/>
                  <w:rFonts w:ascii="Arial" w:hAnsi="Arial" w:cs="Arial"/>
                  <w:sz w:val="22"/>
                  <w:szCs w:val="22"/>
                </w:rPr>
                <w:t>info@congatec.com</w:t>
              </w:r>
            </w:hyperlink>
            <w:r w:rsidR="00B66783" w:rsidRPr="009162DE">
              <w:rPr>
                <w:rFonts w:ascii="Arial" w:hAnsi="Arial" w:cs="Arial"/>
                <w:sz w:val="22"/>
                <w:szCs w:val="22"/>
              </w:rPr>
              <w:t xml:space="preserve"> </w:t>
            </w:r>
          </w:p>
          <w:p w14:paraId="5A648B09" w14:textId="77777777" w:rsidR="00B66783" w:rsidRPr="009162DE" w:rsidRDefault="00824C9E" w:rsidP="0019325B">
            <w:pPr>
              <w:pStyle w:val="Standard1"/>
              <w:snapToGrid w:val="0"/>
              <w:spacing w:line="276" w:lineRule="auto"/>
              <w:ind w:right="-1058"/>
              <w:rPr>
                <w:rFonts w:ascii="Arial" w:hAnsi="Arial" w:cs="Arial"/>
                <w:b/>
                <w:sz w:val="22"/>
                <w:szCs w:val="22"/>
                <w:u w:val="single"/>
              </w:rPr>
            </w:pPr>
            <w:hyperlink r:id="rId17" w:history="1">
              <w:r w:rsidR="00B66783" w:rsidRPr="009162DE">
                <w:rPr>
                  <w:rStyle w:val="Hyperlink"/>
                  <w:rFonts w:ascii="Arial" w:hAnsi="Arial" w:cs="Arial"/>
                  <w:sz w:val="22"/>
                  <w:szCs w:val="22"/>
                </w:rPr>
                <w:t>www.congatec.com</w:t>
              </w:r>
            </w:hyperlink>
          </w:p>
        </w:tc>
        <w:tc>
          <w:tcPr>
            <w:tcW w:w="2977" w:type="dxa"/>
            <w:shd w:val="clear" w:color="auto" w:fill="auto"/>
          </w:tcPr>
          <w:p w14:paraId="5E36C60A" w14:textId="77777777" w:rsidR="00E630E8" w:rsidRPr="009162DE" w:rsidRDefault="00E630E8" w:rsidP="0019325B">
            <w:pPr>
              <w:pStyle w:val="Standard1"/>
              <w:snapToGrid w:val="0"/>
              <w:spacing w:line="276" w:lineRule="auto"/>
              <w:rPr>
                <w:rFonts w:ascii="Arial" w:hAnsi="Arial" w:cs="Arial"/>
                <w:b/>
                <w:sz w:val="22"/>
                <w:szCs w:val="22"/>
              </w:rPr>
            </w:pPr>
          </w:p>
          <w:p w14:paraId="76584B71" w14:textId="77777777" w:rsidR="00B66783" w:rsidRPr="009162DE" w:rsidRDefault="00B66783" w:rsidP="0019325B">
            <w:pPr>
              <w:pStyle w:val="Standard1"/>
              <w:snapToGrid w:val="0"/>
              <w:spacing w:line="276" w:lineRule="auto"/>
              <w:rPr>
                <w:rFonts w:ascii="Arial" w:hAnsi="Arial" w:cs="Arial"/>
                <w:b/>
                <w:sz w:val="22"/>
                <w:szCs w:val="22"/>
                <w:lang w:val="en-US"/>
              </w:rPr>
            </w:pPr>
            <w:r w:rsidRPr="009162DE">
              <w:rPr>
                <w:rFonts w:ascii="Arial" w:hAnsi="Arial" w:cs="Arial"/>
                <w:b/>
                <w:sz w:val="22"/>
                <w:szCs w:val="22"/>
                <w:lang w:val="en-US"/>
              </w:rPr>
              <w:t>Press contact:</w:t>
            </w:r>
          </w:p>
          <w:p w14:paraId="345317C7" w14:textId="77777777" w:rsidR="00B66783" w:rsidRPr="009162DE" w:rsidRDefault="00B66783" w:rsidP="0019325B">
            <w:pPr>
              <w:pStyle w:val="Standard1"/>
              <w:snapToGrid w:val="0"/>
              <w:spacing w:line="276" w:lineRule="auto"/>
              <w:rPr>
                <w:rFonts w:ascii="Arial" w:hAnsi="Arial" w:cs="Arial"/>
                <w:sz w:val="22"/>
                <w:szCs w:val="22"/>
                <w:lang w:val="en-US"/>
              </w:rPr>
            </w:pPr>
            <w:r w:rsidRPr="009162DE">
              <w:rPr>
                <w:rFonts w:ascii="Arial" w:hAnsi="Arial" w:cs="Arial"/>
                <w:sz w:val="22"/>
                <w:szCs w:val="22"/>
                <w:lang w:val="en-US"/>
              </w:rPr>
              <w:t>SAMS Network</w:t>
            </w:r>
          </w:p>
          <w:p w14:paraId="72C3EC28" w14:textId="77777777" w:rsidR="00B66783" w:rsidRPr="009162DE" w:rsidRDefault="00B66783" w:rsidP="0019325B">
            <w:pPr>
              <w:pStyle w:val="Standard1"/>
              <w:snapToGrid w:val="0"/>
              <w:spacing w:line="276" w:lineRule="auto"/>
              <w:rPr>
                <w:rFonts w:ascii="Arial" w:hAnsi="Arial" w:cs="Arial"/>
                <w:sz w:val="22"/>
                <w:szCs w:val="22"/>
                <w:lang w:val="en-US"/>
              </w:rPr>
            </w:pPr>
            <w:r w:rsidRPr="009162DE">
              <w:rPr>
                <w:rFonts w:ascii="Arial" w:hAnsi="Arial" w:cs="Arial"/>
                <w:sz w:val="22"/>
                <w:szCs w:val="22"/>
                <w:lang w:val="en-US"/>
              </w:rPr>
              <w:t>Michael Hennen</w:t>
            </w:r>
          </w:p>
          <w:p w14:paraId="6147A394" w14:textId="77777777" w:rsidR="00B66783" w:rsidRPr="009162DE" w:rsidRDefault="00B66783" w:rsidP="0019325B">
            <w:pPr>
              <w:pStyle w:val="Standard1"/>
              <w:snapToGrid w:val="0"/>
              <w:spacing w:line="276" w:lineRule="auto"/>
              <w:rPr>
                <w:rFonts w:ascii="Arial" w:hAnsi="Arial" w:cs="Arial"/>
                <w:sz w:val="22"/>
                <w:szCs w:val="22"/>
              </w:rPr>
            </w:pPr>
            <w:r w:rsidRPr="009162DE">
              <w:rPr>
                <w:rFonts w:ascii="Arial" w:hAnsi="Arial" w:cs="Arial"/>
                <w:sz w:val="22"/>
                <w:szCs w:val="22"/>
              </w:rPr>
              <w:t>Telefon: +49-2405-4526720</w:t>
            </w:r>
          </w:p>
          <w:p w14:paraId="145B5815" w14:textId="6DAE0831" w:rsidR="00B66783" w:rsidRPr="009162DE" w:rsidRDefault="00824C9E" w:rsidP="0019325B">
            <w:pPr>
              <w:pStyle w:val="Standard1"/>
              <w:snapToGrid w:val="0"/>
              <w:spacing w:line="276" w:lineRule="auto"/>
              <w:rPr>
                <w:rFonts w:ascii="Arial" w:hAnsi="Arial" w:cs="Arial"/>
                <w:sz w:val="22"/>
                <w:szCs w:val="22"/>
              </w:rPr>
            </w:pPr>
            <w:hyperlink r:id="rId18" w:history="1">
              <w:r w:rsidR="005E4A60" w:rsidRPr="001B5BF8">
                <w:rPr>
                  <w:rStyle w:val="Hyperlink"/>
                  <w:rFonts w:ascii="Arial" w:hAnsi="Arial" w:cs="Arial"/>
                  <w:sz w:val="22"/>
                  <w:szCs w:val="22"/>
                </w:rPr>
                <w:t>congatec@sams-network.com</w:t>
              </w:r>
            </w:hyperlink>
            <w:r w:rsidR="00B66783" w:rsidRPr="009162DE">
              <w:rPr>
                <w:rFonts w:ascii="Arial" w:hAnsi="Arial" w:cs="Arial"/>
                <w:sz w:val="22"/>
                <w:szCs w:val="22"/>
              </w:rPr>
              <w:t xml:space="preserve"> </w:t>
            </w:r>
          </w:p>
          <w:p w14:paraId="0F4EE603" w14:textId="77777777" w:rsidR="00B66783" w:rsidRPr="009162DE" w:rsidRDefault="00824C9E" w:rsidP="0019325B">
            <w:pPr>
              <w:pStyle w:val="Standard1"/>
              <w:snapToGrid w:val="0"/>
              <w:spacing w:line="276" w:lineRule="auto"/>
              <w:rPr>
                <w:rFonts w:ascii="Arial" w:hAnsi="Arial" w:cs="Arial"/>
                <w:b/>
                <w:sz w:val="22"/>
                <w:szCs w:val="22"/>
                <w:u w:val="single"/>
              </w:rPr>
            </w:pPr>
            <w:hyperlink r:id="rId19" w:history="1">
              <w:r w:rsidR="00B66783" w:rsidRPr="009162DE">
                <w:rPr>
                  <w:rStyle w:val="Hyperlink"/>
                  <w:rFonts w:ascii="Arial" w:hAnsi="Arial" w:cs="Arial"/>
                  <w:sz w:val="22"/>
                  <w:szCs w:val="22"/>
                </w:rPr>
                <w:t>www.sams-network.com</w:t>
              </w:r>
            </w:hyperlink>
          </w:p>
        </w:tc>
      </w:tr>
    </w:tbl>
    <w:p w14:paraId="43FA1191" w14:textId="77777777" w:rsidR="00B66783" w:rsidRDefault="00B66783" w:rsidP="00A562AA"/>
    <w:p w14:paraId="6B80D1B2" w14:textId="77777777" w:rsidR="00B66783" w:rsidRPr="00B66783" w:rsidRDefault="00B66783" w:rsidP="00A562AA"/>
    <w:p w14:paraId="47F99AB1" w14:textId="77777777"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20" w:history="1">
        <w:r w:rsidRPr="00B66783">
          <w:rPr>
            <w:rStyle w:val="Hyperlink"/>
            <w:rFonts w:ascii="Arial" w:hAnsi="Arial" w:cs="Arial"/>
            <w:sz w:val="16"/>
            <w:szCs w:val="16"/>
            <w:lang w:val="es-ES"/>
          </w:rPr>
          <w:t>https://www.congatec.com/es/congatec/notas-de-prensa.html</w:t>
        </w:r>
      </w:hyperlink>
    </w:p>
    <w:p w14:paraId="4DB04A0C" w14:textId="77777777" w:rsidR="00B66783" w:rsidRPr="008247D3" w:rsidRDefault="00B66783" w:rsidP="002A4A84">
      <w:pPr>
        <w:pStyle w:val="Standard1"/>
        <w:ind w:right="283"/>
        <w:rPr>
          <w:rFonts w:ascii="Arial" w:hAnsi="Arial" w:cs="Arial"/>
          <w:sz w:val="16"/>
          <w:szCs w:val="16"/>
          <w:lang w:val="es-ES"/>
        </w:rPr>
      </w:pPr>
    </w:p>
    <w:p w14:paraId="7F158EB7" w14:textId="77777777" w:rsidR="00C925CB" w:rsidRPr="008247D3" w:rsidRDefault="00C925CB" w:rsidP="00C925CB">
      <w:pPr>
        <w:pStyle w:val="Standard1"/>
        <w:spacing w:line="200" w:lineRule="atLeast"/>
        <w:rPr>
          <w:rFonts w:ascii="Arial" w:hAnsi="Arial" w:cs="Arial"/>
          <w:iCs/>
          <w:sz w:val="16"/>
          <w:szCs w:val="16"/>
          <w:lang w:val="es-ES"/>
        </w:rPr>
      </w:pPr>
      <w:r w:rsidRPr="008247D3">
        <w:rPr>
          <w:rFonts w:ascii="Arial" w:hAnsi="Arial" w:cs="Arial"/>
          <w:iCs/>
          <w:sz w:val="16"/>
          <w:szCs w:val="16"/>
          <w:lang w:val="es-ES"/>
        </w:rPr>
        <w:t>Intel, el logotipo de Intel y otras marcas de Intel son marcas comerciales de Intel Corporation o sus filiales..  </w:t>
      </w:r>
    </w:p>
    <w:p w14:paraId="7910F2F2" w14:textId="77777777" w:rsidR="009C76DA" w:rsidRPr="00636D95" w:rsidRDefault="009C76DA" w:rsidP="00C925CB">
      <w:pPr>
        <w:pStyle w:val="Standard1"/>
        <w:rPr>
          <w:rFonts w:ascii="Arial" w:hAnsi="Arial" w:cs="Arial"/>
          <w:iCs/>
          <w:sz w:val="16"/>
          <w:szCs w:val="16"/>
          <w:lang w:val="fr-FR"/>
        </w:rPr>
      </w:pPr>
    </w:p>
    <w:sectPr w:rsidR="009C76DA" w:rsidRPr="00636D95"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5583" w14:textId="77777777" w:rsidR="00481611" w:rsidRDefault="00481611" w:rsidP="00A562AA">
      <w:r>
        <w:separator/>
      </w:r>
    </w:p>
  </w:endnote>
  <w:endnote w:type="continuationSeparator" w:id="0">
    <w:p w14:paraId="7FF5CF5B" w14:textId="77777777" w:rsidR="00481611" w:rsidRDefault="00481611"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BA02" w14:textId="77777777" w:rsidR="00481611" w:rsidRDefault="00481611" w:rsidP="00A562AA">
      <w:r>
        <w:separator/>
      </w:r>
    </w:p>
  </w:footnote>
  <w:footnote w:type="continuationSeparator" w:id="0">
    <w:p w14:paraId="1C80EA0A" w14:textId="77777777" w:rsidR="00481611" w:rsidRDefault="00481611"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47F7"/>
    <w:rsid w:val="002D56A3"/>
    <w:rsid w:val="002E2F91"/>
    <w:rsid w:val="002E333A"/>
    <w:rsid w:val="002E449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1611"/>
    <w:rsid w:val="004841F7"/>
    <w:rsid w:val="0048544A"/>
    <w:rsid w:val="00490E6A"/>
    <w:rsid w:val="004930EB"/>
    <w:rsid w:val="004A09D4"/>
    <w:rsid w:val="004A2EEC"/>
    <w:rsid w:val="004A6525"/>
    <w:rsid w:val="004B1541"/>
    <w:rsid w:val="004B4B85"/>
    <w:rsid w:val="004D2177"/>
    <w:rsid w:val="004D3BA0"/>
    <w:rsid w:val="004D7F6A"/>
    <w:rsid w:val="004F08CB"/>
    <w:rsid w:val="004F52E5"/>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4905"/>
    <w:rsid w:val="00815A0F"/>
    <w:rsid w:val="0082049A"/>
    <w:rsid w:val="008247D3"/>
    <w:rsid w:val="00824C9E"/>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4F2E"/>
    <w:rsid w:val="00A4732D"/>
    <w:rsid w:val="00A54FB5"/>
    <w:rsid w:val="00A562AA"/>
    <w:rsid w:val="00A61518"/>
    <w:rsid w:val="00A634ED"/>
    <w:rsid w:val="00A67A16"/>
    <w:rsid w:val="00A8157E"/>
    <w:rsid w:val="00A863AE"/>
    <w:rsid w:val="00A906AA"/>
    <w:rsid w:val="00A90AE1"/>
    <w:rsid w:val="00AA5C4C"/>
    <w:rsid w:val="00AB3308"/>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5F2D"/>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2AA"/>
    <w:pPr>
      <w:suppressAutoHyphens/>
      <w:spacing w:line="360" w:lineRule="auto"/>
    </w:pPr>
    <w:rPr>
      <w:rFonts w:ascii="Arial" w:eastAsia="Times New Roman" w:hAnsi="Arial" w:cs="Arial"/>
      <w:kern w:val="1"/>
      <w:lang w:val="es-ES"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001D61"/>
    <w:pPr>
      <w:suppressAutoHyphens w:val="0"/>
    </w:pPr>
    <w:rPr>
      <w:rFonts w:ascii="Calibri" w:eastAsiaTheme="minorHAnsi" w:hAnsi="Calibri" w:cs="Calibri"/>
      <w:kern w:val="0"/>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5E4A60"/>
    <w:rPr>
      <w:color w:val="605E5C"/>
      <w:shd w:val="clear" w:color="auto" w:fill="E1DFDD"/>
    </w:rPr>
  </w:style>
  <w:style w:type="paragraph" w:styleId="berarbeitung">
    <w:name w:val="Revision"/>
    <w:hidden/>
    <w:uiPriority w:val="99"/>
    <w:semiHidden/>
    <w:rsid w:val="004F52E5"/>
    <w:rPr>
      <w:rFonts w:ascii="Arial" w:eastAsia="Times New Roman" w:hAnsi="Arial" w:cs="Arial"/>
      <w:kern w:val="1"/>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congatec/" TargetMode="External"/><Relationship Id="rId18" Type="http://schemas.openxmlformats.org/officeDocument/2006/relationships/hyperlink" Target="mailto:congatec@sams-network.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gatec.com/" TargetMode="External"/><Relationship Id="rId17" Type="http://schemas.openxmlformats.org/officeDocument/2006/relationships/hyperlink" Target="http://www.congatec.com" TargetMode="External"/><Relationship Id="rId2" Type="http://schemas.openxmlformats.org/officeDocument/2006/relationships/numbering" Target="numbering.xml"/><Relationship Id="rId16" Type="http://schemas.openxmlformats.org/officeDocument/2006/relationships/hyperlink" Target="mailto:info@congatec.com" TargetMode="External"/><Relationship Id="rId20" Type="http://schemas.openxmlformats.org/officeDocument/2006/relationships/hyperlink" Target="https://www.congatec.com/es/congatec/notas-de-prens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technologies/intel-xeon-d-modu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congatecAE" TargetMode="External"/><Relationship Id="rId23" Type="http://schemas.openxmlformats.org/officeDocument/2006/relationships/fontTable" Target="fontTable.xml"/><Relationship Id="rId10" Type="http://schemas.openxmlformats.org/officeDocument/2006/relationships/hyperlink" Target="https://www.congatec.com/en/products/com-hpc/conga-hpcsilh/"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congatecAG"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8166</Characters>
  <Application>Microsoft Office Word</Application>
  <DocSecurity>0</DocSecurity>
  <Lines>68</Lines>
  <Paragraphs>18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cp:lastPrinted>2020-12-07T11:00:00Z</cp:lastPrinted>
  <dcterms:created xsi:type="dcterms:W3CDTF">2022-07-05T07:35:00Z</dcterms:created>
  <dcterms:modified xsi:type="dcterms:W3CDTF">2022-07-05T07:35:00Z</dcterms:modified>
</cp:coreProperties>
</file>