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B61CE5">
      <w:pPr>
        <w:pStyle w:val="berschrift1"/>
        <w:spacing w:line="240" w:lineRule="auto"/>
        <w:rPr>
          <w:rFonts w:cs="Arial"/>
        </w:rPr>
      </w:pPr>
    </w:p>
    <w:p w14:paraId="50C209D9" w14:textId="77777777" w:rsidR="009D0A2B" w:rsidRPr="009C4B5D" w:rsidRDefault="009D0A2B" w:rsidP="00B61CE5">
      <w:pPr>
        <w:pStyle w:val="berschrift1"/>
        <w:spacing w:line="240" w:lineRule="auto"/>
        <w:rPr>
          <w:rFonts w:cs="Arial"/>
        </w:rPr>
      </w:pPr>
    </w:p>
    <w:p w14:paraId="7E816B56" w14:textId="63264695" w:rsidR="00F9256D" w:rsidRPr="007715D0" w:rsidRDefault="00516E8C" w:rsidP="00F9256D">
      <w:pPr>
        <w:spacing w:line="276" w:lineRule="auto"/>
      </w:pPr>
      <w:proofErr w:type="spellStart"/>
      <w:r w:rsidRPr="007715D0">
        <w:t>congatec</w:t>
      </w:r>
      <w:proofErr w:type="spellEnd"/>
      <w:r w:rsidRPr="007715D0">
        <w:t xml:space="preserve"> stellt </w:t>
      </w:r>
      <w:proofErr w:type="spellStart"/>
      <w:r w:rsidR="007715D0" w:rsidRPr="007715D0">
        <w:t>ho</w:t>
      </w:r>
      <w:r w:rsidR="007715D0">
        <w:t>chperformantes</w:t>
      </w:r>
      <w:proofErr w:type="spellEnd"/>
      <w:r w:rsidRPr="007715D0">
        <w:t xml:space="preserve"> COM-HPC-</w:t>
      </w:r>
      <w:proofErr w:type="spellStart"/>
      <w:r w:rsidRPr="007715D0">
        <w:t>Carrierboard</w:t>
      </w:r>
      <w:proofErr w:type="spellEnd"/>
      <w:r w:rsidRPr="007715D0">
        <w:t xml:space="preserve"> im Micro-ATX-Formfaktor vor</w:t>
      </w:r>
    </w:p>
    <w:p w14:paraId="45FFAEAA" w14:textId="77777777" w:rsidR="00F9256D" w:rsidRPr="007715D0" w:rsidRDefault="00F9256D" w:rsidP="00F9256D">
      <w:pPr>
        <w:spacing w:line="276" w:lineRule="auto"/>
        <w:rPr>
          <w:rStyle w:val="Kommentarzeichen1"/>
          <w:sz w:val="22"/>
          <w:szCs w:val="22"/>
        </w:rPr>
      </w:pPr>
    </w:p>
    <w:p w14:paraId="33BEC0BA" w14:textId="09B4CD78" w:rsidR="00516E8C" w:rsidRPr="00516E8C" w:rsidRDefault="00516E8C" w:rsidP="00F9256D">
      <w:pPr>
        <w:spacing w:line="276" w:lineRule="auto"/>
        <w:rPr>
          <w:b/>
          <w:sz w:val="32"/>
          <w:szCs w:val="32"/>
        </w:rPr>
      </w:pPr>
      <w:r w:rsidRPr="00516E8C">
        <w:rPr>
          <w:b/>
          <w:sz w:val="32"/>
          <w:szCs w:val="32"/>
        </w:rPr>
        <w:t>Modulare</w:t>
      </w:r>
      <w:r>
        <w:rPr>
          <w:b/>
          <w:sz w:val="32"/>
          <w:szCs w:val="32"/>
        </w:rPr>
        <w:t>s</w:t>
      </w:r>
      <w:r w:rsidRPr="00516E8C">
        <w:rPr>
          <w:b/>
          <w:sz w:val="32"/>
          <w:szCs w:val="32"/>
        </w:rPr>
        <w:t xml:space="preserve"> High-End Micro-ATX</w:t>
      </w:r>
      <w:r w:rsidR="007715D0">
        <w:rPr>
          <w:b/>
          <w:sz w:val="32"/>
          <w:szCs w:val="32"/>
        </w:rPr>
        <w:t>-</w:t>
      </w:r>
      <w:r>
        <w:rPr>
          <w:b/>
          <w:sz w:val="32"/>
          <w:szCs w:val="32"/>
        </w:rPr>
        <w:t>Carrierboard</w:t>
      </w:r>
      <w:r w:rsidRPr="00516E8C">
        <w:rPr>
          <w:b/>
          <w:sz w:val="32"/>
          <w:szCs w:val="32"/>
        </w:rPr>
        <w:t xml:space="preserve"> für nachhaltigere und ultra-skalierbare COM-HPC-basierte Systemdesigns</w:t>
      </w:r>
    </w:p>
    <w:p w14:paraId="32A60F1E" w14:textId="77777777" w:rsidR="00F9256D" w:rsidRPr="00516E8C" w:rsidRDefault="00F9256D" w:rsidP="00F9256D">
      <w:pPr>
        <w:rPr>
          <w:rStyle w:val="Kommentarzeichen1"/>
          <w:b/>
          <w:szCs w:val="22"/>
        </w:rPr>
      </w:pPr>
    </w:p>
    <w:p w14:paraId="279ECC57" w14:textId="77777777" w:rsidR="00F9256D" w:rsidRPr="002E2884" w:rsidRDefault="00F9256D" w:rsidP="00F9256D">
      <w:pPr>
        <w:rPr>
          <w:rStyle w:val="Kommentarzeichen1"/>
          <w:b/>
          <w:szCs w:val="22"/>
        </w:rPr>
      </w:pPr>
      <w:r w:rsidRPr="002E2884">
        <w:rPr>
          <w:noProof/>
        </w:rPr>
        <w:drawing>
          <wp:inline distT="0" distB="0" distL="0" distR="0" wp14:anchorId="6D463CBD" wp14:editId="3A950636">
            <wp:extent cx="4993420" cy="392904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33395" cy="3960498"/>
                    </a:xfrm>
                    <a:prstGeom prst="rect">
                      <a:avLst/>
                    </a:prstGeom>
                  </pic:spPr>
                </pic:pic>
              </a:graphicData>
            </a:graphic>
          </wp:inline>
        </w:drawing>
      </w:r>
    </w:p>
    <w:p w14:paraId="1211E24D" w14:textId="77777777" w:rsidR="00F9256D" w:rsidRPr="002E2884" w:rsidRDefault="00F9256D" w:rsidP="00F9256D">
      <w:pPr>
        <w:rPr>
          <w:rStyle w:val="Kommentarzeichen1"/>
          <w:b/>
          <w:szCs w:val="22"/>
        </w:rPr>
      </w:pPr>
    </w:p>
    <w:p w14:paraId="53235C65" w14:textId="32D445DB" w:rsidR="00F9256D" w:rsidRPr="0014353E" w:rsidRDefault="00F9256D" w:rsidP="00F9256D">
      <w:pPr>
        <w:rPr>
          <w:rStyle w:val="Kommentarzeichen1"/>
          <w:sz w:val="22"/>
          <w:szCs w:val="22"/>
        </w:rPr>
      </w:pPr>
      <w:r w:rsidRPr="007715D0">
        <w:rPr>
          <w:b/>
          <w:szCs w:val="22"/>
        </w:rPr>
        <w:t>Deggendorf, 2</w:t>
      </w:r>
      <w:r w:rsidR="004D0ED3">
        <w:rPr>
          <w:b/>
          <w:szCs w:val="22"/>
        </w:rPr>
        <w:t>6</w:t>
      </w:r>
      <w:r w:rsidR="0014353E" w:rsidRPr="007715D0">
        <w:rPr>
          <w:b/>
          <w:szCs w:val="22"/>
        </w:rPr>
        <w:t>.</w:t>
      </w:r>
      <w:r w:rsidRPr="007715D0">
        <w:rPr>
          <w:b/>
          <w:szCs w:val="22"/>
        </w:rPr>
        <w:t xml:space="preserve"> </w:t>
      </w:r>
      <w:r w:rsidRPr="0014353E">
        <w:rPr>
          <w:b/>
          <w:szCs w:val="22"/>
        </w:rPr>
        <w:t>Jul</w:t>
      </w:r>
      <w:r w:rsidR="0014353E" w:rsidRPr="0014353E">
        <w:rPr>
          <w:b/>
          <w:szCs w:val="22"/>
        </w:rPr>
        <w:t>i</w:t>
      </w:r>
      <w:r w:rsidRPr="0014353E">
        <w:rPr>
          <w:b/>
          <w:szCs w:val="22"/>
        </w:rPr>
        <w:t xml:space="preserve"> </w:t>
      </w:r>
      <w:r w:rsidRPr="0014353E">
        <w:rPr>
          <w:rStyle w:val="Kommentarzeichen1"/>
          <w:b/>
          <w:sz w:val="22"/>
          <w:szCs w:val="22"/>
        </w:rPr>
        <w:t>2022 * * *</w:t>
      </w:r>
      <w:r w:rsidRPr="0014353E">
        <w:rPr>
          <w:rStyle w:val="Kommentarzeichen1"/>
          <w:sz w:val="22"/>
          <w:szCs w:val="22"/>
        </w:rPr>
        <w:t xml:space="preserve"> </w:t>
      </w:r>
      <w:r w:rsidR="0014353E" w:rsidRPr="0014353E">
        <w:rPr>
          <w:rStyle w:val="Kommentarzeichen1"/>
          <w:sz w:val="22"/>
          <w:szCs w:val="22"/>
        </w:rPr>
        <w:t>congatec</w:t>
      </w:r>
      <w:r w:rsidR="0014353E">
        <w:rPr>
          <w:rStyle w:val="Kommentarzeichen1"/>
          <w:sz w:val="22"/>
          <w:szCs w:val="22"/>
        </w:rPr>
        <w:t xml:space="preserve"> </w:t>
      </w:r>
      <w:r w:rsidR="0014353E">
        <w:rPr>
          <w:rFonts w:cs="Arial"/>
          <w:szCs w:val="22"/>
        </w:rPr>
        <w:t>– ein führender Anbieter von Embedded</w:t>
      </w:r>
      <w:r w:rsidR="007715D0">
        <w:rPr>
          <w:rFonts w:cs="Arial"/>
          <w:szCs w:val="22"/>
        </w:rPr>
        <w:t>-</w:t>
      </w:r>
      <w:r w:rsidR="0014353E">
        <w:rPr>
          <w:rFonts w:cs="Arial"/>
          <w:szCs w:val="22"/>
        </w:rPr>
        <w:t xml:space="preserve"> und Edge</w:t>
      </w:r>
      <w:r w:rsidR="007715D0">
        <w:rPr>
          <w:rFonts w:cs="Arial"/>
          <w:szCs w:val="22"/>
        </w:rPr>
        <w:t>-</w:t>
      </w:r>
      <w:r w:rsidR="0014353E">
        <w:rPr>
          <w:rFonts w:cs="Arial"/>
          <w:szCs w:val="22"/>
        </w:rPr>
        <w:t>Computer</w:t>
      </w:r>
      <w:r w:rsidR="007715D0">
        <w:rPr>
          <w:rFonts w:cs="Arial"/>
          <w:szCs w:val="22"/>
        </w:rPr>
        <w:t>-</w:t>
      </w:r>
      <w:r w:rsidR="0014353E">
        <w:rPr>
          <w:rFonts w:cs="Arial"/>
          <w:szCs w:val="22"/>
        </w:rPr>
        <w:t xml:space="preserve">Technologie – </w:t>
      </w:r>
      <w:r w:rsidR="0014353E" w:rsidRPr="0014353E">
        <w:rPr>
          <w:rStyle w:val="Kommentarzeichen1"/>
          <w:sz w:val="22"/>
          <w:szCs w:val="22"/>
        </w:rPr>
        <w:t xml:space="preserve">steigt mit der Einführung seines ersten modularen Micro-ATX-kompatiblen </w:t>
      </w:r>
      <w:r w:rsidR="0014353E">
        <w:rPr>
          <w:rStyle w:val="Kommentarzeichen1"/>
          <w:sz w:val="22"/>
          <w:szCs w:val="22"/>
        </w:rPr>
        <w:t>Carrierboards</w:t>
      </w:r>
      <w:r w:rsidR="0014353E" w:rsidRPr="0014353E">
        <w:rPr>
          <w:rStyle w:val="Kommentarzeichen1"/>
          <w:sz w:val="22"/>
          <w:szCs w:val="22"/>
        </w:rPr>
        <w:t xml:space="preserve"> mit COM-HPC-</w:t>
      </w:r>
      <w:r w:rsidR="004D0ED3">
        <w:rPr>
          <w:rStyle w:val="Kommentarzeichen1"/>
          <w:sz w:val="22"/>
          <w:szCs w:val="22"/>
        </w:rPr>
        <w:t>Steckplatz</w:t>
      </w:r>
      <w:r w:rsidR="00B76000">
        <w:rPr>
          <w:rStyle w:val="Kommentarzeichen1"/>
          <w:sz w:val="22"/>
          <w:szCs w:val="22"/>
        </w:rPr>
        <w:t xml:space="preserve"> </w:t>
      </w:r>
      <w:r w:rsidR="0014353E" w:rsidRPr="0014353E">
        <w:rPr>
          <w:rStyle w:val="Kommentarzeichen1"/>
          <w:sz w:val="22"/>
          <w:szCs w:val="22"/>
        </w:rPr>
        <w:t xml:space="preserve">in den Markt </w:t>
      </w:r>
      <w:r w:rsidR="007715D0">
        <w:rPr>
          <w:rStyle w:val="Kommentarzeichen1"/>
          <w:sz w:val="22"/>
          <w:szCs w:val="22"/>
        </w:rPr>
        <w:t>der</w:t>
      </w:r>
      <w:r w:rsidR="0014353E" w:rsidRPr="0014353E">
        <w:rPr>
          <w:rStyle w:val="Kommentarzeichen1"/>
          <w:sz w:val="22"/>
          <w:szCs w:val="22"/>
        </w:rPr>
        <w:t xml:space="preserve"> industrielle</w:t>
      </w:r>
      <w:r w:rsidR="007715D0">
        <w:rPr>
          <w:rStyle w:val="Kommentarzeichen1"/>
          <w:sz w:val="22"/>
          <w:szCs w:val="22"/>
        </w:rPr>
        <w:t>n</w:t>
      </w:r>
      <w:r w:rsidR="0014353E" w:rsidRPr="0014353E">
        <w:rPr>
          <w:rStyle w:val="Kommentarzeichen1"/>
          <w:sz w:val="22"/>
          <w:szCs w:val="22"/>
        </w:rPr>
        <w:t xml:space="preserve"> High-End-Workstations und Desktop-Clients ein. Das Board ist für eine </w:t>
      </w:r>
      <w:r w:rsidR="00A41F95">
        <w:rPr>
          <w:rStyle w:val="Kommentarzeichen1"/>
          <w:sz w:val="22"/>
          <w:szCs w:val="22"/>
        </w:rPr>
        <w:t>Embedded-</w:t>
      </w:r>
      <w:r w:rsidR="0014353E" w:rsidRPr="0014353E">
        <w:rPr>
          <w:rStyle w:val="Kommentarzeichen1"/>
          <w:sz w:val="22"/>
          <w:szCs w:val="22"/>
        </w:rPr>
        <w:t xml:space="preserve">Langzeitverfügbarkeit von mindestens sieben Jahren ausgelegt. Damit entfallen die </w:t>
      </w:r>
      <w:r w:rsidR="00B70822">
        <w:rPr>
          <w:rStyle w:val="Kommentarzeichen1"/>
          <w:sz w:val="22"/>
          <w:szCs w:val="22"/>
        </w:rPr>
        <w:t>bei den</w:t>
      </w:r>
      <w:r w:rsidR="007715D0">
        <w:rPr>
          <w:rStyle w:val="Kommentarzeichen1"/>
          <w:sz w:val="22"/>
          <w:szCs w:val="22"/>
        </w:rPr>
        <w:t xml:space="preserve"> </w:t>
      </w:r>
      <w:r w:rsidR="007715D0" w:rsidRPr="0014353E">
        <w:rPr>
          <w:rStyle w:val="Kommentarzeichen1"/>
          <w:sz w:val="22"/>
          <w:szCs w:val="22"/>
        </w:rPr>
        <w:t>in der Regel nur für drei bis fünf Jahre lieferbar</w:t>
      </w:r>
      <w:r w:rsidR="007715D0">
        <w:rPr>
          <w:rStyle w:val="Kommentarzeichen1"/>
          <w:sz w:val="22"/>
          <w:szCs w:val="22"/>
        </w:rPr>
        <w:t xml:space="preserve">en </w:t>
      </w:r>
      <w:r w:rsidR="007715D0" w:rsidRPr="0014353E">
        <w:rPr>
          <w:rStyle w:val="Kommentarzeichen1"/>
          <w:sz w:val="22"/>
          <w:szCs w:val="22"/>
        </w:rPr>
        <w:t xml:space="preserve">Standard- oder </w:t>
      </w:r>
      <w:r w:rsidR="007715D0">
        <w:rPr>
          <w:rStyle w:val="Kommentarzeichen1"/>
          <w:sz w:val="22"/>
          <w:szCs w:val="22"/>
        </w:rPr>
        <w:t xml:space="preserve">semi-industriellen </w:t>
      </w:r>
      <w:r w:rsidR="007715D0" w:rsidRPr="0014353E">
        <w:rPr>
          <w:rStyle w:val="Kommentarzeichen1"/>
          <w:sz w:val="22"/>
          <w:szCs w:val="22"/>
        </w:rPr>
        <w:t xml:space="preserve">Motherboards </w:t>
      </w:r>
      <w:r w:rsidR="007715D0">
        <w:rPr>
          <w:rStyle w:val="Kommentarzeichen1"/>
          <w:sz w:val="22"/>
          <w:szCs w:val="22"/>
        </w:rPr>
        <w:t xml:space="preserve">üblichen </w:t>
      </w:r>
      <w:r w:rsidR="0014353E" w:rsidRPr="0014353E">
        <w:rPr>
          <w:rStyle w:val="Kommentarzeichen1"/>
          <w:sz w:val="22"/>
          <w:szCs w:val="22"/>
        </w:rPr>
        <w:t>Designrisiken, Revisionsanforderungen und Lieferkettenunsicherheiten</w:t>
      </w:r>
      <w:r w:rsidR="007715D0">
        <w:rPr>
          <w:rStyle w:val="Kommentarzeichen1"/>
          <w:sz w:val="22"/>
          <w:szCs w:val="22"/>
        </w:rPr>
        <w:t xml:space="preserve">. </w:t>
      </w:r>
      <w:r w:rsidR="0014353E" w:rsidRPr="0014353E">
        <w:rPr>
          <w:rStyle w:val="Kommentarzeichen1"/>
          <w:sz w:val="22"/>
          <w:szCs w:val="22"/>
        </w:rPr>
        <w:t xml:space="preserve">Da das Board prozessorsockel- und herstellerunabhängig ist, kann es mit jedem High-End-Computer-on-Module </w:t>
      </w:r>
      <w:r w:rsidR="00B70822">
        <w:rPr>
          <w:rStyle w:val="Kommentarzeichen1"/>
          <w:sz w:val="22"/>
          <w:szCs w:val="22"/>
        </w:rPr>
        <w:t>bestückt</w:t>
      </w:r>
      <w:r w:rsidR="0014353E" w:rsidRPr="0014353E">
        <w:rPr>
          <w:rStyle w:val="Kommentarzeichen1"/>
          <w:sz w:val="22"/>
          <w:szCs w:val="22"/>
        </w:rPr>
        <w:t xml:space="preserve"> werden, das in COM-HPC Client Size A, B oder C verfügbar ist, was OEM-Designs noch flexibler und nachhaltiger macht. Eine beeindruckende Skalierbarkeit über die gesamte Palette der 12. Generation der Intel </w:t>
      </w:r>
      <w:r w:rsidR="0014353E" w:rsidRPr="0014353E">
        <w:rPr>
          <w:rStyle w:val="Kommentarzeichen1"/>
          <w:sz w:val="22"/>
          <w:szCs w:val="22"/>
        </w:rPr>
        <w:lastRenderedPageBreak/>
        <w:t xml:space="preserve">Core Prozessor-basierten COM-HPC-Module, die congatec in 14 verschiedenen High-End-Performance-Varianten anbietet, ist von Anfang an gegeben. Die Leistungsoptionen für das neue </w:t>
      </w:r>
      <w:proofErr w:type="spellStart"/>
      <w:r w:rsidR="0014353E" w:rsidRPr="0014353E">
        <w:rPr>
          <w:rStyle w:val="Kommentarzeichen1"/>
          <w:sz w:val="22"/>
          <w:szCs w:val="22"/>
        </w:rPr>
        <w:t>conga</w:t>
      </w:r>
      <w:proofErr w:type="spellEnd"/>
      <w:r w:rsidR="0014353E" w:rsidRPr="0014353E">
        <w:rPr>
          <w:rStyle w:val="Kommentarzeichen1"/>
          <w:sz w:val="22"/>
          <w:szCs w:val="22"/>
        </w:rPr>
        <w:t>-HPC/</w:t>
      </w:r>
      <w:proofErr w:type="spellStart"/>
      <w:r w:rsidR="0014353E" w:rsidRPr="0014353E">
        <w:rPr>
          <w:rStyle w:val="Kommentarzeichen1"/>
          <w:sz w:val="22"/>
          <w:szCs w:val="22"/>
        </w:rPr>
        <w:t>uATX</w:t>
      </w:r>
      <w:proofErr w:type="spellEnd"/>
      <w:r w:rsidR="0014353E" w:rsidRPr="0014353E">
        <w:rPr>
          <w:rStyle w:val="Kommentarzeichen1"/>
          <w:sz w:val="22"/>
          <w:szCs w:val="22"/>
        </w:rPr>
        <w:t xml:space="preserve"> Carrier Board reichen von den </w:t>
      </w:r>
      <w:proofErr w:type="spellStart"/>
      <w:r w:rsidR="0014353E" w:rsidRPr="0014353E">
        <w:rPr>
          <w:rStyle w:val="Kommentarzeichen1"/>
          <w:sz w:val="22"/>
          <w:szCs w:val="22"/>
        </w:rPr>
        <w:t>conga</w:t>
      </w:r>
      <w:proofErr w:type="spellEnd"/>
      <w:r w:rsidR="0014353E" w:rsidRPr="0014353E">
        <w:rPr>
          <w:rStyle w:val="Kommentarzeichen1"/>
          <w:sz w:val="22"/>
          <w:szCs w:val="22"/>
        </w:rPr>
        <w:t>-HPC/</w:t>
      </w:r>
      <w:proofErr w:type="spellStart"/>
      <w:r w:rsidR="0014353E" w:rsidRPr="0014353E">
        <w:rPr>
          <w:rStyle w:val="Kommentarzeichen1"/>
          <w:sz w:val="22"/>
          <w:szCs w:val="22"/>
        </w:rPr>
        <w:t>cALS</w:t>
      </w:r>
      <w:proofErr w:type="spellEnd"/>
      <w:r w:rsidR="0014353E" w:rsidRPr="0014353E">
        <w:rPr>
          <w:rStyle w:val="Kommentarzeichen1"/>
          <w:sz w:val="22"/>
          <w:szCs w:val="22"/>
        </w:rPr>
        <w:t xml:space="preserve"> COM-HPC Client Size C Modulen, die mit einem 16-Core Intel Core i9 Prozessor die derzeit höchste Embedded Client Performance bieten, bis hin zu den Meistern der Preis/</w:t>
      </w:r>
      <w:r w:rsidR="004D0ED3">
        <w:rPr>
          <w:rStyle w:val="Kommentarzeichen1"/>
          <w:sz w:val="22"/>
          <w:szCs w:val="22"/>
        </w:rPr>
        <w:t>Performance</w:t>
      </w:r>
      <w:r w:rsidR="0014353E" w:rsidRPr="0014353E">
        <w:rPr>
          <w:rStyle w:val="Kommentarzeichen1"/>
          <w:sz w:val="22"/>
          <w:szCs w:val="22"/>
        </w:rPr>
        <w:t xml:space="preserve">optimierung </w:t>
      </w:r>
      <w:r w:rsidR="004D0ED3">
        <w:rPr>
          <w:rStyle w:val="Kommentarzeichen1"/>
          <w:sz w:val="22"/>
          <w:szCs w:val="22"/>
        </w:rPr>
        <w:t>–</w:t>
      </w:r>
      <w:r w:rsidR="0014353E" w:rsidRPr="0014353E">
        <w:rPr>
          <w:rStyle w:val="Kommentarzeichen1"/>
          <w:sz w:val="22"/>
          <w:szCs w:val="22"/>
        </w:rPr>
        <w:t xml:space="preserve"> den </w:t>
      </w:r>
      <w:proofErr w:type="spellStart"/>
      <w:r w:rsidR="0014353E" w:rsidRPr="0014353E">
        <w:rPr>
          <w:rStyle w:val="Kommentarzeichen1"/>
          <w:sz w:val="22"/>
          <w:szCs w:val="22"/>
        </w:rPr>
        <w:t>conga</w:t>
      </w:r>
      <w:proofErr w:type="spellEnd"/>
      <w:r w:rsidR="0014353E" w:rsidRPr="0014353E">
        <w:rPr>
          <w:rStyle w:val="Kommentarzeichen1"/>
          <w:sz w:val="22"/>
          <w:szCs w:val="22"/>
        </w:rPr>
        <w:t>-HPC/</w:t>
      </w:r>
      <w:proofErr w:type="spellStart"/>
      <w:r w:rsidR="0014353E" w:rsidRPr="0014353E">
        <w:rPr>
          <w:rStyle w:val="Kommentarzeichen1"/>
          <w:sz w:val="22"/>
          <w:szCs w:val="22"/>
        </w:rPr>
        <w:t>cALP</w:t>
      </w:r>
      <w:proofErr w:type="spellEnd"/>
      <w:r w:rsidR="0014353E" w:rsidRPr="0014353E">
        <w:rPr>
          <w:rStyle w:val="Kommentarzeichen1"/>
          <w:sz w:val="22"/>
          <w:szCs w:val="22"/>
        </w:rPr>
        <w:t xml:space="preserve"> COM-HPC Client Size A Modulen mit Intel Celeron 7305E Prozessor.</w:t>
      </w:r>
    </w:p>
    <w:p w14:paraId="7C886CAF" w14:textId="18BE62D3" w:rsidR="006A2399" w:rsidRPr="004D0ED3" w:rsidRDefault="006A2399" w:rsidP="00F9256D">
      <w:pPr>
        <w:rPr>
          <w:rStyle w:val="Kommentarzeichen1"/>
          <w:sz w:val="22"/>
          <w:szCs w:val="22"/>
        </w:rPr>
      </w:pPr>
    </w:p>
    <w:p w14:paraId="5AE1E5D5" w14:textId="746BE72B" w:rsidR="006A2399" w:rsidRDefault="006A2399" w:rsidP="00F9256D">
      <w:pPr>
        <w:rPr>
          <w:rStyle w:val="Kommentarzeichen1"/>
          <w:sz w:val="22"/>
          <w:szCs w:val="22"/>
        </w:rPr>
      </w:pPr>
      <w:r w:rsidRPr="00BF1716">
        <w:rPr>
          <w:rStyle w:val="Kommentarzeichen1"/>
          <w:sz w:val="22"/>
          <w:szCs w:val="22"/>
        </w:rPr>
        <w:t xml:space="preserve">Die Kombination </w:t>
      </w:r>
      <w:r w:rsidR="00B70822">
        <w:rPr>
          <w:rStyle w:val="Kommentarzeichen1"/>
          <w:sz w:val="22"/>
          <w:szCs w:val="22"/>
        </w:rPr>
        <w:t>aus</w:t>
      </w:r>
      <w:r w:rsidRPr="00BF1716">
        <w:rPr>
          <w:rStyle w:val="Kommentarzeichen1"/>
          <w:sz w:val="22"/>
          <w:szCs w:val="22"/>
        </w:rPr>
        <w:t xml:space="preserve"> </w:t>
      </w:r>
      <w:r w:rsidR="00BF1716">
        <w:rPr>
          <w:rStyle w:val="Kommentarzeichen1"/>
          <w:sz w:val="22"/>
          <w:szCs w:val="22"/>
        </w:rPr>
        <w:t xml:space="preserve">applikationsfertigen </w:t>
      </w:r>
      <w:r w:rsidRPr="00BF1716">
        <w:rPr>
          <w:rStyle w:val="Kommentarzeichen1"/>
          <w:sz w:val="22"/>
          <w:szCs w:val="22"/>
        </w:rPr>
        <w:t>industrietauglichen COMs &amp; Carrier</w:t>
      </w:r>
      <w:r w:rsidR="00BF1716">
        <w:rPr>
          <w:rStyle w:val="Kommentarzeichen1"/>
          <w:sz w:val="22"/>
          <w:szCs w:val="22"/>
        </w:rPr>
        <w:t>b</w:t>
      </w:r>
      <w:r w:rsidRPr="00BF1716">
        <w:rPr>
          <w:rStyle w:val="Kommentarzeichen1"/>
          <w:sz w:val="22"/>
          <w:szCs w:val="22"/>
        </w:rPr>
        <w:t xml:space="preserve">oards mit maßgeschneiderten Kühllösungen und umfassenden BSPs für alle führenden RTOS und </w:t>
      </w:r>
      <w:r w:rsidR="006E297F">
        <w:rPr>
          <w:rStyle w:val="Kommentarzeichen1"/>
          <w:sz w:val="22"/>
          <w:szCs w:val="22"/>
        </w:rPr>
        <w:t>dem</w:t>
      </w:r>
      <w:r w:rsidR="006E297F" w:rsidRPr="00BF1716">
        <w:rPr>
          <w:rStyle w:val="Kommentarzeichen1"/>
          <w:sz w:val="22"/>
          <w:szCs w:val="22"/>
        </w:rPr>
        <w:t xml:space="preserve"> </w:t>
      </w:r>
      <w:r w:rsidRPr="00BF1716">
        <w:rPr>
          <w:rStyle w:val="Kommentarzeichen1"/>
          <w:sz w:val="22"/>
          <w:szCs w:val="22"/>
        </w:rPr>
        <w:t>Echtzeit-Hypervisor von Real-Time Systems ist perfekt für schnellste Time-</w:t>
      </w:r>
      <w:proofErr w:type="spellStart"/>
      <w:r w:rsidRPr="00BF1716">
        <w:rPr>
          <w:rStyle w:val="Kommentarzeichen1"/>
          <w:sz w:val="22"/>
          <w:szCs w:val="22"/>
        </w:rPr>
        <w:t>to</w:t>
      </w:r>
      <w:proofErr w:type="spellEnd"/>
      <w:r w:rsidRPr="00BF1716">
        <w:rPr>
          <w:rStyle w:val="Kommentarzeichen1"/>
          <w:sz w:val="22"/>
          <w:szCs w:val="22"/>
        </w:rPr>
        <w:t>-Market, erzeugt niedrigste einmalige Entwicklungskosten</w:t>
      </w:r>
      <w:r w:rsidR="00B70822">
        <w:rPr>
          <w:rStyle w:val="Kommentarzeichen1"/>
          <w:sz w:val="22"/>
          <w:szCs w:val="22"/>
        </w:rPr>
        <w:t xml:space="preserve"> (NRE)</w:t>
      </w:r>
      <w:r w:rsidRPr="00BF1716">
        <w:rPr>
          <w:rStyle w:val="Kommentarzeichen1"/>
          <w:sz w:val="22"/>
          <w:szCs w:val="22"/>
        </w:rPr>
        <w:t xml:space="preserve">, ermöglicht es Kunden, sehr schnell auf sich ändernde Marktanforderungen zu reagieren und reduziert den Aufwand zur Skalierung der </w:t>
      </w:r>
      <w:r w:rsidR="004D0ED3">
        <w:rPr>
          <w:rStyle w:val="Kommentarzeichen1"/>
          <w:sz w:val="22"/>
          <w:szCs w:val="22"/>
        </w:rPr>
        <w:t>Performance</w:t>
      </w:r>
      <w:r w:rsidRPr="00BF1716">
        <w:rPr>
          <w:rStyle w:val="Kommentarzeichen1"/>
          <w:sz w:val="22"/>
          <w:szCs w:val="22"/>
        </w:rPr>
        <w:t xml:space="preserve"> von Micro-ATX basierten Systemen auf ein Minimum. </w:t>
      </w:r>
      <w:r w:rsidR="00B70822">
        <w:rPr>
          <w:rStyle w:val="Kommentarzeichen1"/>
          <w:sz w:val="22"/>
          <w:szCs w:val="22"/>
        </w:rPr>
        <w:t>Sie</w:t>
      </w:r>
      <w:r w:rsidRPr="00BF1716">
        <w:rPr>
          <w:rStyle w:val="Kommentarzeichen1"/>
          <w:sz w:val="22"/>
          <w:szCs w:val="22"/>
        </w:rPr>
        <w:t xml:space="preserve"> ermöglicht Kunden</w:t>
      </w:r>
      <w:r w:rsidR="00B70822">
        <w:rPr>
          <w:rStyle w:val="Kommentarzeichen1"/>
          <w:sz w:val="22"/>
          <w:szCs w:val="22"/>
        </w:rPr>
        <w:t xml:space="preserve"> zudem</w:t>
      </w:r>
      <w:r w:rsidRPr="00BF1716">
        <w:rPr>
          <w:rStyle w:val="Kommentarzeichen1"/>
          <w:sz w:val="22"/>
          <w:szCs w:val="22"/>
        </w:rPr>
        <w:t xml:space="preserve">, ein komplettes Produktportfolio auf der Basis eines einzigen </w:t>
      </w:r>
      <w:r w:rsidR="00BD7AF7">
        <w:rPr>
          <w:rStyle w:val="Kommentarzeichen1"/>
          <w:sz w:val="22"/>
          <w:szCs w:val="22"/>
        </w:rPr>
        <w:t>Carrier-Konzepts</w:t>
      </w:r>
      <w:r w:rsidRPr="00BF1716">
        <w:rPr>
          <w:rStyle w:val="Kommentarzeichen1"/>
          <w:sz w:val="22"/>
          <w:szCs w:val="22"/>
        </w:rPr>
        <w:t xml:space="preserve"> zu erstellen.</w:t>
      </w:r>
    </w:p>
    <w:p w14:paraId="4BDD746C" w14:textId="09C82669" w:rsidR="002A3BBD" w:rsidRDefault="002A3BBD" w:rsidP="00F9256D">
      <w:pPr>
        <w:rPr>
          <w:rStyle w:val="Kommentarzeichen1"/>
          <w:sz w:val="22"/>
          <w:szCs w:val="22"/>
        </w:rPr>
      </w:pPr>
    </w:p>
    <w:p w14:paraId="5E762F15" w14:textId="04056CDE" w:rsidR="002A3BBD" w:rsidRDefault="0089603F" w:rsidP="00F9256D">
      <w:pPr>
        <w:rPr>
          <w:rStyle w:val="Kommentarzeichen1"/>
          <w:sz w:val="22"/>
          <w:szCs w:val="22"/>
        </w:rPr>
      </w:pPr>
      <w:r>
        <w:rPr>
          <w:rStyle w:val="Kommentarzeichen1"/>
          <w:sz w:val="22"/>
          <w:szCs w:val="22"/>
        </w:rPr>
        <w:t xml:space="preserve">Auch </w:t>
      </w:r>
      <w:r w:rsidR="0086013B">
        <w:rPr>
          <w:rStyle w:val="Kommentarzeichen1"/>
          <w:sz w:val="22"/>
          <w:szCs w:val="22"/>
        </w:rPr>
        <w:t xml:space="preserve">ermöglicht die </w:t>
      </w:r>
      <w:r w:rsidR="00870292">
        <w:rPr>
          <w:rStyle w:val="Kommentarzeichen1"/>
          <w:sz w:val="22"/>
          <w:szCs w:val="22"/>
        </w:rPr>
        <w:t xml:space="preserve">freie Kombinierbarkeit </w:t>
      </w:r>
      <w:r w:rsidR="000F0821">
        <w:rPr>
          <w:rStyle w:val="Kommentarzeichen1"/>
          <w:sz w:val="22"/>
          <w:szCs w:val="22"/>
        </w:rPr>
        <w:t xml:space="preserve">von </w:t>
      </w:r>
      <w:r w:rsidR="0086013B">
        <w:rPr>
          <w:rStyle w:val="Kommentarzeichen1"/>
          <w:sz w:val="22"/>
          <w:szCs w:val="22"/>
        </w:rPr>
        <w:t xml:space="preserve">COM &amp; Carrier </w:t>
      </w:r>
      <w:r>
        <w:rPr>
          <w:rStyle w:val="Kommentarzeichen1"/>
          <w:sz w:val="22"/>
          <w:szCs w:val="22"/>
        </w:rPr>
        <w:t>z</w:t>
      </w:r>
      <w:r w:rsidR="002A3BBD" w:rsidRPr="002A3BBD">
        <w:rPr>
          <w:rStyle w:val="Kommentarzeichen1"/>
          <w:sz w:val="22"/>
          <w:szCs w:val="22"/>
        </w:rPr>
        <w:t xml:space="preserve">ukünftige Upgrade- und Update-Optionen von Micro-ATX-basierten Plattformen, was ein Höchstmaß an </w:t>
      </w:r>
      <w:r w:rsidR="002A3BBD">
        <w:rPr>
          <w:rStyle w:val="Kommentarzeichen1"/>
          <w:sz w:val="22"/>
          <w:szCs w:val="22"/>
        </w:rPr>
        <w:t>Perfo</w:t>
      </w:r>
      <w:r w:rsidR="000A1962">
        <w:rPr>
          <w:rStyle w:val="Kommentarzeichen1"/>
          <w:sz w:val="22"/>
          <w:szCs w:val="22"/>
        </w:rPr>
        <w:t>r</w:t>
      </w:r>
      <w:r w:rsidR="002A3BBD">
        <w:rPr>
          <w:rStyle w:val="Kommentarzeichen1"/>
          <w:sz w:val="22"/>
          <w:szCs w:val="22"/>
        </w:rPr>
        <w:t>mance-Fl</w:t>
      </w:r>
      <w:r w:rsidR="002A3BBD" w:rsidRPr="002A3BBD">
        <w:rPr>
          <w:rStyle w:val="Kommentarzeichen1"/>
          <w:sz w:val="22"/>
          <w:szCs w:val="22"/>
        </w:rPr>
        <w:t xml:space="preserve">exibilität, </w:t>
      </w:r>
      <w:r w:rsidR="00A34620">
        <w:rPr>
          <w:rStyle w:val="Kommentarzeichen1"/>
          <w:sz w:val="22"/>
          <w:szCs w:val="22"/>
        </w:rPr>
        <w:t>System-Design</w:t>
      </w:r>
      <w:r w:rsidR="002A3BBD" w:rsidRPr="002A3BBD">
        <w:rPr>
          <w:rStyle w:val="Kommentarzeichen1"/>
          <w:sz w:val="22"/>
          <w:szCs w:val="22"/>
        </w:rPr>
        <w:t>sicherheit und nachhaltiger Langzeitverfügbarkeit für anwendungsspezifisch</w:t>
      </w:r>
      <w:r w:rsidR="00643D45">
        <w:rPr>
          <w:rStyle w:val="Kommentarzeichen1"/>
          <w:sz w:val="22"/>
          <w:szCs w:val="22"/>
        </w:rPr>
        <w:t>e</w:t>
      </w:r>
      <w:r w:rsidR="002A3BBD" w:rsidRPr="002A3BBD">
        <w:rPr>
          <w:rStyle w:val="Kommentarzeichen1"/>
          <w:sz w:val="22"/>
          <w:szCs w:val="22"/>
        </w:rPr>
        <w:t xml:space="preserve"> </w:t>
      </w:r>
      <w:r w:rsidR="002A3BBD">
        <w:rPr>
          <w:rStyle w:val="Kommentarzeichen1"/>
          <w:sz w:val="22"/>
          <w:szCs w:val="22"/>
        </w:rPr>
        <w:t>Carrierboard-</w:t>
      </w:r>
      <w:r w:rsidR="002A3BBD" w:rsidRPr="002A3BBD">
        <w:rPr>
          <w:rStyle w:val="Kommentarzeichen1"/>
          <w:sz w:val="22"/>
          <w:szCs w:val="22"/>
        </w:rPr>
        <w:t xml:space="preserve"> und Systemdesigns </w:t>
      </w:r>
      <w:r w:rsidR="00E3188D">
        <w:rPr>
          <w:rStyle w:val="Kommentarzeichen1"/>
          <w:sz w:val="22"/>
          <w:szCs w:val="22"/>
        </w:rPr>
        <w:t>mit sich bringt</w:t>
      </w:r>
      <w:r w:rsidR="002A3BBD" w:rsidRPr="002A3BBD">
        <w:rPr>
          <w:rStyle w:val="Kommentarzeichen1"/>
          <w:sz w:val="22"/>
          <w:szCs w:val="22"/>
        </w:rPr>
        <w:t xml:space="preserve">. In Zeiten von </w:t>
      </w:r>
      <w:r w:rsidR="002C3C88">
        <w:rPr>
          <w:rStyle w:val="Kommentarzeichen1"/>
          <w:sz w:val="22"/>
          <w:szCs w:val="22"/>
        </w:rPr>
        <w:t xml:space="preserve">unsicheren Lieferketten </w:t>
      </w:r>
      <w:r w:rsidR="002A3BBD" w:rsidRPr="002A3BBD">
        <w:rPr>
          <w:rStyle w:val="Kommentarzeichen1"/>
          <w:sz w:val="22"/>
          <w:szCs w:val="22"/>
        </w:rPr>
        <w:t xml:space="preserve">ist die Möglichkeit, jedes verfügbare COM-HPC-Modul zu wählen, ein besonderer Vorteil. OEMs </w:t>
      </w:r>
      <w:r w:rsidR="002C3C88">
        <w:rPr>
          <w:rStyle w:val="Kommentarzeichen1"/>
          <w:sz w:val="22"/>
          <w:szCs w:val="22"/>
        </w:rPr>
        <w:t xml:space="preserve">sind damit </w:t>
      </w:r>
      <w:r w:rsidR="002A3BBD" w:rsidRPr="002A3BBD">
        <w:rPr>
          <w:rStyle w:val="Kommentarzeichen1"/>
          <w:sz w:val="22"/>
          <w:szCs w:val="22"/>
        </w:rPr>
        <w:t xml:space="preserve">nicht an einen </w:t>
      </w:r>
      <w:r w:rsidR="002C3C88">
        <w:rPr>
          <w:rStyle w:val="Kommentarzeichen1"/>
          <w:sz w:val="22"/>
          <w:szCs w:val="22"/>
        </w:rPr>
        <w:t xml:space="preserve">dedizierten </w:t>
      </w:r>
      <w:r w:rsidR="002A3BBD" w:rsidRPr="002A3BBD">
        <w:rPr>
          <w:rStyle w:val="Kommentarzeichen1"/>
          <w:sz w:val="22"/>
          <w:szCs w:val="22"/>
        </w:rPr>
        <w:t xml:space="preserve">BGA- oder LGA-Prozessor eines einzelnen </w:t>
      </w:r>
      <w:r w:rsidR="002C3C88">
        <w:rPr>
          <w:rStyle w:val="Kommentarzeichen1"/>
          <w:sz w:val="22"/>
          <w:szCs w:val="22"/>
        </w:rPr>
        <w:t>Chip</w:t>
      </w:r>
      <w:r w:rsidR="002A3BBD" w:rsidRPr="002A3BBD">
        <w:rPr>
          <w:rStyle w:val="Kommentarzeichen1"/>
          <w:sz w:val="22"/>
          <w:szCs w:val="22"/>
        </w:rPr>
        <w:t xml:space="preserve">- oder Computer-on-Modules-Anbieters gebunden, was das Risiko von Lieferengpässen deutlich reduziert. Gleichzeitig können die Mechanik und die anwendungsspezifischen Peripheriegeräte </w:t>
      </w:r>
      <w:r w:rsidR="006C43B5">
        <w:rPr>
          <w:rStyle w:val="Kommentarzeichen1"/>
          <w:sz w:val="22"/>
          <w:szCs w:val="22"/>
        </w:rPr>
        <w:t xml:space="preserve">ohne Hardwareänderungen </w:t>
      </w:r>
      <w:r w:rsidR="002A3BBD" w:rsidRPr="002A3BBD">
        <w:rPr>
          <w:rStyle w:val="Kommentarzeichen1"/>
          <w:sz w:val="22"/>
          <w:szCs w:val="22"/>
        </w:rPr>
        <w:t>so bleiben, wie sie sind.</w:t>
      </w:r>
    </w:p>
    <w:p w14:paraId="31A1BD4F" w14:textId="50C2E689" w:rsidR="008A2EA5" w:rsidRPr="00BF1716" w:rsidRDefault="008A2EA5" w:rsidP="00F9256D">
      <w:pPr>
        <w:rPr>
          <w:rStyle w:val="Kommentarzeichen1"/>
          <w:sz w:val="22"/>
          <w:szCs w:val="22"/>
        </w:rPr>
      </w:pPr>
    </w:p>
    <w:p w14:paraId="125D6BC4" w14:textId="31C4570C" w:rsidR="00F9256D" w:rsidRPr="0099350F" w:rsidRDefault="00B70822" w:rsidP="00F9256D">
      <w:pPr>
        <w:rPr>
          <w:rStyle w:val="Kommentarzeichen1"/>
          <w:sz w:val="22"/>
          <w:szCs w:val="22"/>
        </w:rPr>
      </w:pPr>
      <w:r>
        <w:rPr>
          <w:rStyle w:val="Kommentarzeichen1"/>
          <w:sz w:val="22"/>
          <w:szCs w:val="22"/>
        </w:rPr>
        <w:t>„</w:t>
      </w:r>
      <w:r w:rsidR="0099350F" w:rsidRPr="0099350F">
        <w:rPr>
          <w:rStyle w:val="Kommentarzeichen1"/>
          <w:sz w:val="22"/>
          <w:szCs w:val="22"/>
        </w:rPr>
        <w:t>Das neue industrietaugliche COM-HPC-</w:t>
      </w:r>
      <w:proofErr w:type="spellStart"/>
      <w:r w:rsidR="0099350F">
        <w:rPr>
          <w:rStyle w:val="Kommentarzeichen1"/>
          <w:sz w:val="22"/>
          <w:szCs w:val="22"/>
        </w:rPr>
        <w:t>Carrierb</w:t>
      </w:r>
      <w:r w:rsidR="00723447">
        <w:rPr>
          <w:rStyle w:val="Kommentarzeichen1"/>
          <w:sz w:val="22"/>
          <w:szCs w:val="22"/>
        </w:rPr>
        <w:t>oar</w:t>
      </w:r>
      <w:r w:rsidR="0099350F">
        <w:rPr>
          <w:rStyle w:val="Kommentarzeichen1"/>
          <w:sz w:val="22"/>
          <w:szCs w:val="22"/>
        </w:rPr>
        <w:t>d</w:t>
      </w:r>
      <w:proofErr w:type="spellEnd"/>
      <w:r w:rsidR="0099350F" w:rsidRPr="0099350F">
        <w:rPr>
          <w:rStyle w:val="Kommentarzeichen1"/>
          <w:sz w:val="22"/>
          <w:szCs w:val="22"/>
        </w:rPr>
        <w:t xml:space="preserve"> im Micro-ATX-Formfaktor portiert alle Vorteile von Computer-on-Modules in den industriellen und semi-industriellen High-End-Motherboard-Markt. Es wird </w:t>
      </w:r>
      <w:r w:rsidR="00E753C7">
        <w:rPr>
          <w:rStyle w:val="Kommentarzeichen1"/>
          <w:sz w:val="22"/>
          <w:szCs w:val="22"/>
        </w:rPr>
        <w:t>konventionelle</w:t>
      </w:r>
      <w:r w:rsidR="0099350F" w:rsidRPr="0099350F">
        <w:rPr>
          <w:rStyle w:val="Kommentarzeichen1"/>
          <w:sz w:val="22"/>
          <w:szCs w:val="22"/>
        </w:rPr>
        <w:t xml:space="preserve"> Motherboard-basierte Systemdesigns, die auf eine bestimmte Prozessorgeneration zugeschnitten sind, zu weitaus flexibleren und nachhaltiger skalierbaren Motherboard-Layouts </w:t>
      </w:r>
      <w:r w:rsidR="00E753C7">
        <w:rPr>
          <w:rStyle w:val="Kommentarzeichen1"/>
          <w:sz w:val="22"/>
          <w:szCs w:val="22"/>
        </w:rPr>
        <w:t>transformieren</w:t>
      </w:r>
      <w:r w:rsidR="0099350F" w:rsidRPr="0099350F">
        <w:rPr>
          <w:rStyle w:val="Kommentarzeichen1"/>
          <w:sz w:val="22"/>
          <w:szCs w:val="22"/>
        </w:rPr>
        <w:t xml:space="preserve">, die Computer-on-Modules nutzen. Industrielle Anwendungen benötigen längere Lebenszyklen als drei bis fünf Jahre, </w:t>
      </w:r>
      <w:r w:rsidR="0099350F" w:rsidRPr="0099350F">
        <w:rPr>
          <w:rStyle w:val="Kommentarzeichen1"/>
          <w:sz w:val="22"/>
          <w:szCs w:val="22"/>
        </w:rPr>
        <w:lastRenderedPageBreak/>
        <w:t xml:space="preserve">um die NRE-Kosten </w:t>
      </w:r>
      <w:r>
        <w:rPr>
          <w:rStyle w:val="Kommentarzeichen1"/>
          <w:sz w:val="22"/>
          <w:szCs w:val="22"/>
        </w:rPr>
        <w:t xml:space="preserve">in der Summe </w:t>
      </w:r>
      <w:r w:rsidR="00E753C7">
        <w:rPr>
          <w:rStyle w:val="Kommentarzeichen1"/>
          <w:sz w:val="22"/>
          <w:szCs w:val="22"/>
        </w:rPr>
        <w:t xml:space="preserve">zu </w:t>
      </w:r>
      <w:r w:rsidR="0099350F" w:rsidRPr="0099350F">
        <w:rPr>
          <w:rStyle w:val="Kommentarzeichen1"/>
          <w:sz w:val="22"/>
          <w:szCs w:val="22"/>
        </w:rPr>
        <w:t>senken und den Return</w:t>
      </w:r>
      <w:r>
        <w:rPr>
          <w:rStyle w:val="Kommentarzeichen1"/>
          <w:sz w:val="22"/>
          <w:szCs w:val="22"/>
        </w:rPr>
        <w:t>-</w:t>
      </w:r>
      <w:r w:rsidR="0099350F" w:rsidRPr="0099350F">
        <w:rPr>
          <w:rStyle w:val="Kommentarzeichen1"/>
          <w:sz w:val="22"/>
          <w:szCs w:val="22"/>
        </w:rPr>
        <w:t>on</w:t>
      </w:r>
      <w:r>
        <w:rPr>
          <w:rStyle w:val="Kommentarzeichen1"/>
          <w:sz w:val="22"/>
          <w:szCs w:val="22"/>
        </w:rPr>
        <w:t>-</w:t>
      </w:r>
      <w:r w:rsidR="0099350F" w:rsidRPr="0099350F">
        <w:rPr>
          <w:rStyle w:val="Kommentarzeichen1"/>
          <w:sz w:val="22"/>
          <w:szCs w:val="22"/>
        </w:rPr>
        <w:t>Investment von dedizierten Systemen zu maximieren. Die Möglichkeit, die Prozessorleistung auf jede zukünftige Option umstellen</w:t>
      </w:r>
      <w:r w:rsidR="00DB67D4">
        <w:rPr>
          <w:rStyle w:val="Kommentarzeichen1"/>
          <w:sz w:val="22"/>
          <w:szCs w:val="22"/>
        </w:rPr>
        <w:t xml:space="preserve"> zu können</w:t>
      </w:r>
      <w:r w:rsidR="0099350F" w:rsidRPr="0099350F">
        <w:rPr>
          <w:rStyle w:val="Kommentarzeichen1"/>
          <w:sz w:val="22"/>
          <w:szCs w:val="22"/>
        </w:rPr>
        <w:t xml:space="preserve">, ohne das gesamte System neu aufbauen zu müssen, ist daher für viele Branchen ein </w:t>
      </w:r>
      <w:r w:rsidR="006E297F">
        <w:rPr>
          <w:rStyle w:val="Kommentarzeichen1"/>
          <w:sz w:val="22"/>
          <w:szCs w:val="22"/>
        </w:rPr>
        <w:t>enormer</w:t>
      </w:r>
      <w:r w:rsidR="006E297F" w:rsidRPr="0099350F">
        <w:rPr>
          <w:rStyle w:val="Kommentarzeichen1"/>
          <w:sz w:val="22"/>
          <w:szCs w:val="22"/>
        </w:rPr>
        <w:t xml:space="preserve"> </w:t>
      </w:r>
      <w:r w:rsidR="0099350F" w:rsidRPr="0099350F">
        <w:rPr>
          <w:rStyle w:val="Kommentarzeichen1"/>
          <w:sz w:val="22"/>
          <w:szCs w:val="22"/>
        </w:rPr>
        <w:t>Vorteil</w:t>
      </w:r>
      <w:r>
        <w:rPr>
          <w:rStyle w:val="Kommentarzeichen1"/>
          <w:sz w:val="22"/>
          <w:szCs w:val="22"/>
        </w:rPr>
        <w:t>“</w:t>
      </w:r>
      <w:r w:rsidR="00E753C7">
        <w:rPr>
          <w:rStyle w:val="Kommentarzeichen1"/>
          <w:sz w:val="22"/>
          <w:szCs w:val="22"/>
        </w:rPr>
        <w:t>,</w:t>
      </w:r>
      <w:r w:rsidR="0099350F" w:rsidRPr="0099350F">
        <w:rPr>
          <w:rStyle w:val="Kommentarzeichen1"/>
          <w:sz w:val="22"/>
          <w:szCs w:val="22"/>
        </w:rPr>
        <w:t xml:space="preserve"> erklärt Martin Danzer, Director Product Management bei congatec.</w:t>
      </w:r>
    </w:p>
    <w:p w14:paraId="7A068742" w14:textId="677FF300" w:rsidR="0099350F" w:rsidRPr="0099350F" w:rsidRDefault="0099350F" w:rsidP="00F9256D">
      <w:pPr>
        <w:rPr>
          <w:rStyle w:val="Kommentarzeichen1"/>
          <w:sz w:val="22"/>
          <w:szCs w:val="22"/>
        </w:rPr>
      </w:pPr>
    </w:p>
    <w:p w14:paraId="329A22F0" w14:textId="2EA4CA1B" w:rsidR="0099350F" w:rsidRPr="008A2EA5" w:rsidRDefault="008A2EA5" w:rsidP="00F9256D">
      <w:pPr>
        <w:rPr>
          <w:rStyle w:val="Kommentarzeichen1"/>
          <w:sz w:val="22"/>
          <w:szCs w:val="22"/>
        </w:rPr>
      </w:pPr>
      <w:r w:rsidRPr="008A2EA5">
        <w:rPr>
          <w:rStyle w:val="Kommentarzeichen1"/>
          <w:sz w:val="22"/>
          <w:szCs w:val="22"/>
        </w:rPr>
        <w:t xml:space="preserve">Das neue </w:t>
      </w:r>
      <w:proofErr w:type="spellStart"/>
      <w:r w:rsidRPr="008A2EA5">
        <w:rPr>
          <w:rStyle w:val="Kommentarzeichen1"/>
          <w:sz w:val="22"/>
          <w:szCs w:val="22"/>
        </w:rPr>
        <w:t>conga</w:t>
      </w:r>
      <w:proofErr w:type="spellEnd"/>
      <w:r w:rsidRPr="008A2EA5">
        <w:rPr>
          <w:rStyle w:val="Kommentarzeichen1"/>
          <w:sz w:val="22"/>
          <w:szCs w:val="22"/>
        </w:rPr>
        <w:t>-HPC/</w:t>
      </w:r>
      <w:proofErr w:type="spellStart"/>
      <w:r w:rsidRPr="008A2EA5">
        <w:rPr>
          <w:rStyle w:val="Kommentarzeichen1"/>
          <w:sz w:val="22"/>
          <w:szCs w:val="22"/>
        </w:rPr>
        <w:t>uATX</w:t>
      </w:r>
      <w:proofErr w:type="spellEnd"/>
      <w:r w:rsidRPr="008A2EA5">
        <w:rPr>
          <w:rStyle w:val="Kommentarzeichen1"/>
          <w:sz w:val="22"/>
          <w:szCs w:val="22"/>
        </w:rPr>
        <w:t xml:space="preserve"> Carrier Board für COM-HPC Computer-on-Module im Micro-ATX-Formfaktor ermöglicht es </w:t>
      </w:r>
      <w:r>
        <w:rPr>
          <w:rStyle w:val="Kommentarzeichen1"/>
          <w:sz w:val="22"/>
          <w:szCs w:val="22"/>
        </w:rPr>
        <w:t>Entwicklern</w:t>
      </w:r>
      <w:r w:rsidRPr="008A2EA5">
        <w:rPr>
          <w:rStyle w:val="Kommentarzeichen1"/>
          <w:sz w:val="22"/>
          <w:szCs w:val="22"/>
        </w:rPr>
        <w:t xml:space="preserve"> die nächste Generation ihrer High-Performance-Embedded- und Edge-Computing-Systeme </w:t>
      </w:r>
      <w:r w:rsidR="00E753C7">
        <w:rPr>
          <w:rStyle w:val="Kommentarzeichen1"/>
          <w:sz w:val="22"/>
          <w:szCs w:val="22"/>
        </w:rPr>
        <w:t>innerhalb</w:t>
      </w:r>
      <w:r w:rsidRPr="008A2EA5">
        <w:rPr>
          <w:rStyle w:val="Kommentarzeichen1"/>
          <w:sz w:val="22"/>
          <w:szCs w:val="22"/>
        </w:rPr>
        <w:t xml:space="preserve"> kürzester Zeit </w:t>
      </w:r>
      <w:r w:rsidRPr="00E753C7">
        <w:rPr>
          <w:rStyle w:val="Kommentarzeichen1"/>
          <w:sz w:val="22"/>
          <w:szCs w:val="22"/>
        </w:rPr>
        <w:t>als Prototyp</w:t>
      </w:r>
      <w:r w:rsidRPr="008A2EA5">
        <w:rPr>
          <w:rStyle w:val="Kommentarzeichen1"/>
          <w:sz w:val="22"/>
          <w:szCs w:val="22"/>
        </w:rPr>
        <w:t xml:space="preserve"> zu entwickeln und auf den Markt zu bringen. Anwendungsbereiche für Micro-ATX</w:t>
      </w:r>
      <w:r w:rsidR="00E753C7">
        <w:rPr>
          <w:rStyle w:val="Kommentarzeichen1"/>
          <w:sz w:val="22"/>
          <w:szCs w:val="22"/>
        </w:rPr>
        <w:t xml:space="preserve"> basierte </w:t>
      </w:r>
      <w:r w:rsidRPr="008A2EA5">
        <w:rPr>
          <w:rStyle w:val="Kommentarzeichen1"/>
          <w:sz w:val="22"/>
          <w:szCs w:val="22"/>
        </w:rPr>
        <w:t xml:space="preserve">Systemdesigns sind Systemlösungen, die mehrere Displays unterstützen und </w:t>
      </w:r>
      <w:r w:rsidR="00DB67D4">
        <w:rPr>
          <w:rStyle w:val="Kommentarzeichen1"/>
          <w:sz w:val="22"/>
          <w:szCs w:val="22"/>
        </w:rPr>
        <w:t xml:space="preserve">die </w:t>
      </w:r>
      <w:r w:rsidRPr="008A2EA5">
        <w:rPr>
          <w:rStyle w:val="Kommentarzeichen1"/>
          <w:sz w:val="22"/>
          <w:szCs w:val="22"/>
        </w:rPr>
        <w:t xml:space="preserve">in </w:t>
      </w:r>
      <w:r w:rsidR="00DB67D4">
        <w:rPr>
          <w:rStyle w:val="Kommentarzeichen1"/>
          <w:sz w:val="22"/>
          <w:szCs w:val="22"/>
        </w:rPr>
        <w:t>unterschiedlichsten</w:t>
      </w:r>
      <w:r w:rsidRPr="008A2EA5">
        <w:rPr>
          <w:rStyle w:val="Kommentarzeichen1"/>
          <w:sz w:val="22"/>
          <w:szCs w:val="22"/>
        </w:rPr>
        <w:t xml:space="preserve"> </w:t>
      </w:r>
      <w:r w:rsidR="00DB67D4">
        <w:rPr>
          <w:rStyle w:val="Kommentarzeichen1"/>
          <w:sz w:val="22"/>
          <w:szCs w:val="22"/>
        </w:rPr>
        <w:t>Branchen</w:t>
      </w:r>
      <w:r w:rsidRPr="008A2EA5">
        <w:rPr>
          <w:rStyle w:val="Kommentarzeichen1"/>
          <w:sz w:val="22"/>
          <w:szCs w:val="22"/>
        </w:rPr>
        <w:t xml:space="preserve"> zu finden sind. Typische Anwendungen reichen von industriellen und medizinischen HMIs, Echtzeit-Edge-Controllern, Industrie-PCs und Kontrollraumsystemen über Infotainment- und Digital Signage-Anwendungen bis hin zu professionellen Casino-</w:t>
      </w:r>
      <w:r>
        <w:rPr>
          <w:rStyle w:val="Kommentarzeichen1"/>
          <w:sz w:val="22"/>
          <w:szCs w:val="22"/>
        </w:rPr>
        <w:t>Gaming-Systemen</w:t>
      </w:r>
      <w:r w:rsidRPr="008A2EA5">
        <w:rPr>
          <w:rStyle w:val="Kommentarzeichen1"/>
          <w:sz w:val="22"/>
          <w:szCs w:val="22"/>
        </w:rPr>
        <w:t>.</w:t>
      </w:r>
    </w:p>
    <w:p w14:paraId="4F7BD7B9" w14:textId="77777777" w:rsidR="008A2EA5" w:rsidRPr="008A2EA5" w:rsidRDefault="008A2EA5" w:rsidP="00F9256D">
      <w:pPr>
        <w:rPr>
          <w:rStyle w:val="Kommentarzeichen1"/>
          <w:sz w:val="22"/>
          <w:szCs w:val="22"/>
        </w:rPr>
      </w:pPr>
    </w:p>
    <w:p w14:paraId="272821D8" w14:textId="62F5DB10" w:rsidR="00F531A6" w:rsidRPr="00F531A6" w:rsidRDefault="00962758" w:rsidP="00F9256D">
      <w:pPr>
        <w:rPr>
          <w:rStyle w:val="Kommentarzeichen1"/>
          <w:sz w:val="22"/>
          <w:szCs w:val="22"/>
        </w:rPr>
      </w:pPr>
      <w:r w:rsidRPr="00962758">
        <w:rPr>
          <w:rStyle w:val="Kommentarzeichen1"/>
          <w:sz w:val="22"/>
          <w:szCs w:val="22"/>
        </w:rPr>
        <w:t>Das Carrier</w:t>
      </w:r>
      <w:r>
        <w:rPr>
          <w:rStyle w:val="Kommentarzeichen1"/>
          <w:sz w:val="22"/>
          <w:szCs w:val="22"/>
        </w:rPr>
        <w:t>b</w:t>
      </w:r>
      <w:r w:rsidRPr="00962758">
        <w:rPr>
          <w:rStyle w:val="Kommentarzeichen1"/>
          <w:sz w:val="22"/>
          <w:szCs w:val="22"/>
        </w:rPr>
        <w:t>oard bietet neueste Schnittstellenerweiterungen wie PCIe Gen4 und USB 4 und eignet sich perfekt für Systemdesigns mit congatec</w:t>
      </w:r>
      <w:r w:rsidR="006A3FC9">
        <w:rPr>
          <w:rStyle w:val="Kommentarzeichen1"/>
          <w:sz w:val="22"/>
          <w:szCs w:val="22"/>
        </w:rPr>
        <w:t>‘</w:t>
      </w:r>
      <w:r w:rsidRPr="00962758">
        <w:rPr>
          <w:rStyle w:val="Kommentarzeichen1"/>
          <w:sz w:val="22"/>
          <w:szCs w:val="22"/>
        </w:rPr>
        <w:t xml:space="preserve">s neuesten High-End COM-HPC Client-Modulen auf Basis der 12. Generation der Intel Core i9/7/5/3 Desktop-Prozessoren (ehemals Code-Name Alder Lake-S). </w:t>
      </w:r>
      <w:r w:rsidR="00F531A6">
        <w:t xml:space="preserve">Besonders beeindruckend ist die Tatsache, dass Entwickler nun </w:t>
      </w:r>
      <w:proofErr w:type="spellStart"/>
      <w:r w:rsidR="00F531A6">
        <w:t>Intel</w:t>
      </w:r>
      <w:r w:rsidR="00DB67D4">
        <w:t>‘</w:t>
      </w:r>
      <w:r w:rsidR="00F531A6">
        <w:t>s</w:t>
      </w:r>
      <w:proofErr w:type="spellEnd"/>
      <w:r w:rsidR="00F531A6">
        <w:t xml:space="preserve"> innovative Performance-Hybrid-Architektur nutzen können. Mit bis zu 16 Kernen/24 Threads bieten die Intel Core Prozessoren der 12. Generation einen Quantensprung in punkto Multitasking und Skalierbarkeit.</w:t>
      </w:r>
    </w:p>
    <w:p w14:paraId="3C861B64" w14:textId="77777777" w:rsidR="00962758" w:rsidRPr="00F531A6" w:rsidRDefault="00962758" w:rsidP="00F9256D">
      <w:pPr>
        <w:rPr>
          <w:szCs w:val="22"/>
        </w:rPr>
      </w:pPr>
    </w:p>
    <w:p w14:paraId="05B198EE" w14:textId="465044B1" w:rsidR="009466E1" w:rsidRPr="009466E1" w:rsidRDefault="009466E1" w:rsidP="00F9256D">
      <w:pPr>
        <w:rPr>
          <w:szCs w:val="22"/>
        </w:rPr>
      </w:pPr>
      <w:r>
        <w:t xml:space="preserve">IoT- und Edge-Anwendungen der nächsten Generation profitieren von bis zu 8 optimierten Performance-Cores (P-Cores) plus bis zu 8 stromsparenden </w:t>
      </w:r>
      <w:proofErr w:type="spellStart"/>
      <w:r>
        <w:t>Efficient</w:t>
      </w:r>
      <w:proofErr w:type="spellEnd"/>
      <w:r>
        <w:t>-Cores (E-Cores) und DDR5-Speicherunterstützung, um Multithreading-Anwendungen zu beschleunigen und Hintergrundaufgaben effizienter auszuführen.</w:t>
      </w:r>
      <w:r w:rsidR="00B475C8">
        <w:t xml:space="preserve"> Optimiert für höchste Embedded-Client-Performance, liefert die Grafik der LGA-Prozessor-basierten Module </w:t>
      </w:r>
      <w:r w:rsidR="004C1E32">
        <w:t>eine</w:t>
      </w:r>
      <w:r w:rsidR="00B475C8">
        <w:t xml:space="preserve"> bis zu 94 % gesteigerte Performance. Ihre Inferenzleistung zur Bild-Klassifizierung hat sich zudem mit einem bis zu 181 % höheren Durchsatz fast verdreifacht.</w:t>
      </w:r>
      <w:r w:rsidR="00877ADA">
        <w:t xml:space="preserve"> </w:t>
      </w:r>
      <w:r w:rsidR="00B475C8">
        <w:t>Darüber hinaus bieten die Module eine enorm gestiegene Bandbreite für den Anschluss diskreter Grafikprozessoren (GPUs)</w:t>
      </w:r>
      <w:r w:rsidR="004C1E32">
        <w:t>, um</w:t>
      </w:r>
      <w:r w:rsidR="00B475C8">
        <w:t xml:space="preserve"> </w:t>
      </w:r>
      <w:r w:rsidR="004C1E32">
        <w:t>eine höchst performante</w:t>
      </w:r>
      <w:r w:rsidR="00B475C8">
        <w:t xml:space="preserve"> Grafik- und GPGPU-basierte KI-</w:t>
      </w:r>
      <w:r w:rsidR="004C1E32">
        <w:t>Performance zu erzielen</w:t>
      </w:r>
      <w:r w:rsidR="00B475C8">
        <w:t>.</w:t>
      </w:r>
    </w:p>
    <w:p w14:paraId="09C8BBC9" w14:textId="77777777" w:rsidR="00C1206F" w:rsidRPr="007715D0" w:rsidRDefault="00C1206F" w:rsidP="00F9256D">
      <w:pPr>
        <w:rPr>
          <w:szCs w:val="22"/>
        </w:rPr>
      </w:pPr>
    </w:p>
    <w:p w14:paraId="32E979EC" w14:textId="13FCAB1D" w:rsidR="00C11376" w:rsidRDefault="00C1206F" w:rsidP="00C11376">
      <w:r>
        <w:lastRenderedPageBreak/>
        <w:t xml:space="preserve">Neben </w:t>
      </w:r>
      <w:r w:rsidR="00FD2B2E">
        <w:t>höchster</w:t>
      </w:r>
      <w:r w:rsidR="004C1E32">
        <w:t xml:space="preserve"> </w:t>
      </w:r>
      <w:r>
        <w:t>Bandbreite und Performance überzeugen die neuen Flaggschiff-Module im COM-HPC Client Format durch dedizierte KI-</w:t>
      </w:r>
      <w:proofErr w:type="spellStart"/>
      <w:r>
        <w:t>Engines</w:t>
      </w:r>
      <w:proofErr w:type="spellEnd"/>
      <w:r>
        <w:t>, die Windows ML, die Intel Distribution des OpenVINO Toolkits und Chrome Cross ML unterstützen.</w:t>
      </w:r>
      <w:r w:rsidR="0044466B">
        <w:t xml:space="preserve"> </w:t>
      </w:r>
      <w:r w:rsidR="00C11376">
        <w:t xml:space="preserve">Die verschiedenen KI-Workloads können nahtlos an die P-Cores, E-Cores sowie die GPU-Ausführungseinheiten delegiert werden, um selbst die intensivsten Edge-KI-Workloads zu verarbeiten. Die integrierte Intel Deep Learning Boost-Technologie nutzt die verschiedenen Cores über Vector </w:t>
      </w:r>
      <w:proofErr w:type="spellStart"/>
      <w:r w:rsidR="00C11376">
        <w:t>Neural</w:t>
      </w:r>
      <w:proofErr w:type="spellEnd"/>
      <w:r w:rsidR="00C11376">
        <w:t xml:space="preserve"> Network </w:t>
      </w:r>
      <w:proofErr w:type="spellStart"/>
      <w:r w:rsidR="00C11376">
        <w:t>Instructions</w:t>
      </w:r>
      <w:proofErr w:type="spellEnd"/>
      <w:r w:rsidR="00C11376">
        <w:t xml:space="preserve"> (VNNI). Die integrierte Grafik unterstützt zudem KI-beschleunigte DP4a-GPU-Anweisungen, die sogar auf dedizierte GPUs skaliert werden können. Darüber hinaus ermöglicht der Intel </w:t>
      </w:r>
      <w:proofErr w:type="spellStart"/>
      <w:r w:rsidR="00C11376">
        <w:t>Gaussian</w:t>
      </w:r>
      <w:proofErr w:type="spellEnd"/>
      <w:r w:rsidR="00C11376">
        <w:t xml:space="preserve"> &amp; </w:t>
      </w:r>
      <w:proofErr w:type="spellStart"/>
      <w:r w:rsidR="00C11376">
        <w:t>Neural</w:t>
      </w:r>
      <w:proofErr w:type="spellEnd"/>
      <w:r w:rsidR="00C11376">
        <w:t xml:space="preserve"> </w:t>
      </w:r>
      <w:proofErr w:type="spellStart"/>
      <w:r w:rsidR="00C11376">
        <w:t>Accelerator</w:t>
      </w:r>
      <w:proofErr w:type="spellEnd"/>
      <w:r w:rsidR="00C11376">
        <w:t xml:space="preserve"> 3.0 (Intel GNA 3.0) – das ist Intels integrierter KI-Beschleuniger mit besonders geringem Stromverbrauch – eine dynamische Störgeräuschunterdrückung und Spracherkennung und kann sogar im Stromsparmodus des Prozessors mittels eines Sprachbefehls aktiviert werden.</w:t>
      </w:r>
    </w:p>
    <w:p w14:paraId="72326CEA" w14:textId="138944AC" w:rsidR="00C11376" w:rsidRPr="00C11376" w:rsidRDefault="00C11376" w:rsidP="00F9256D">
      <w:pPr>
        <w:rPr>
          <w:rStyle w:val="Kommentarzeichen1"/>
          <w:sz w:val="22"/>
          <w:szCs w:val="22"/>
        </w:rPr>
      </w:pPr>
    </w:p>
    <w:p w14:paraId="12A5AF74" w14:textId="592D9B05" w:rsidR="00F9256D" w:rsidRPr="0044466B" w:rsidRDefault="0044466B" w:rsidP="00F9256D">
      <w:pPr>
        <w:rPr>
          <w:szCs w:val="22"/>
        </w:rPr>
      </w:pPr>
      <w:r w:rsidRPr="0044466B">
        <w:rPr>
          <w:szCs w:val="22"/>
        </w:rPr>
        <w:t xml:space="preserve">Die </w:t>
      </w:r>
      <w:proofErr w:type="spellStart"/>
      <w:r w:rsidR="00F9256D" w:rsidRPr="0044466B">
        <w:rPr>
          <w:szCs w:val="22"/>
        </w:rPr>
        <w:t>conga</w:t>
      </w:r>
      <w:proofErr w:type="spellEnd"/>
      <w:r w:rsidR="00F9256D" w:rsidRPr="0044466B">
        <w:rPr>
          <w:szCs w:val="22"/>
        </w:rPr>
        <w:t>-HPC/</w:t>
      </w:r>
      <w:proofErr w:type="spellStart"/>
      <w:r w:rsidR="00F9256D" w:rsidRPr="0044466B">
        <w:rPr>
          <w:szCs w:val="22"/>
        </w:rPr>
        <w:t>cALS</w:t>
      </w:r>
      <w:proofErr w:type="spellEnd"/>
      <w:r w:rsidR="00F9256D" w:rsidRPr="0044466B">
        <w:rPr>
          <w:szCs w:val="22"/>
        </w:rPr>
        <w:t xml:space="preserve"> COM-HPC Client Size C </w:t>
      </w:r>
      <w:r w:rsidRPr="0044466B">
        <w:rPr>
          <w:szCs w:val="22"/>
        </w:rPr>
        <w:t>M</w:t>
      </w:r>
      <w:r w:rsidR="00F9256D" w:rsidRPr="0044466B">
        <w:rPr>
          <w:szCs w:val="22"/>
        </w:rPr>
        <w:t xml:space="preserve">odule </w:t>
      </w:r>
      <w:r w:rsidRPr="0044466B">
        <w:rPr>
          <w:szCs w:val="22"/>
        </w:rPr>
        <w:t xml:space="preserve">mit Intel Core Desktop-Prozessoren der </w:t>
      </w:r>
      <w:r w:rsidRPr="0044466B">
        <w:t xml:space="preserve">12. Generation </w:t>
      </w:r>
      <w:r>
        <w:t>werden in den folgenden vier Konfigurationen verfügbar</w:t>
      </w:r>
      <w:r w:rsidR="00F9256D" w:rsidRPr="0044466B">
        <w:rPr>
          <w:szCs w:val="22"/>
        </w:rPr>
        <w:t>:</w:t>
      </w:r>
    </w:p>
    <w:p w14:paraId="7948AA69" w14:textId="77777777" w:rsidR="00F9256D" w:rsidRPr="0044466B" w:rsidRDefault="00F9256D" w:rsidP="00F9256D"/>
    <w:tbl>
      <w:tblPr>
        <w:tblW w:w="8938" w:type="dxa"/>
        <w:tblLayout w:type="fixed"/>
        <w:tblLook w:val="04A0" w:firstRow="1" w:lastRow="0" w:firstColumn="1" w:lastColumn="0" w:noHBand="0" w:noVBand="1"/>
      </w:tblPr>
      <w:tblGrid>
        <w:gridCol w:w="2552"/>
        <w:gridCol w:w="283"/>
        <w:gridCol w:w="907"/>
        <w:gridCol w:w="236"/>
        <w:gridCol w:w="1191"/>
        <w:gridCol w:w="236"/>
        <w:gridCol w:w="1191"/>
        <w:gridCol w:w="236"/>
        <w:gridCol w:w="1020"/>
        <w:gridCol w:w="236"/>
        <w:gridCol w:w="850"/>
      </w:tblGrid>
      <w:tr w:rsidR="00F9256D" w:rsidRPr="00173991" w14:paraId="4D4F5B33" w14:textId="77777777" w:rsidTr="00A03EBE">
        <w:tc>
          <w:tcPr>
            <w:tcW w:w="2552" w:type="dxa"/>
            <w:tcBorders>
              <w:bottom w:val="single" w:sz="8" w:space="0" w:color="auto"/>
            </w:tcBorders>
            <w:vAlign w:val="center"/>
          </w:tcPr>
          <w:p w14:paraId="73BE83F7" w14:textId="37CA3B53" w:rsidR="00F9256D" w:rsidRPr="002E2884" w:rsidRDefault="00323CC8" w:rsidP="005A6108">
            <w:pPr>
              <w:spacing w:before="120" w:after="120" w:line="240" w:lineRule="auto"/>
              <w:rPr>
                <w:b/>
                <w:sz w:val="18"/>
                <w:szCs w:val="18"/>
                <w:lang w:eastAsia="de-DE"/>
              </w:rPr>
            </w:pPr>
            <w:r>
              <w:rPr>
                <w:b/>
                <w:sz w:val="18"/>
                <w:szCs w:val="18"/>
                <w:lang w:eastAsia="de-DE"/>
              </w:rPr>
              <w:t>Module</w:t>
            </w:r>
          </w:p>
        </w:tc>
        <w:tc>
          <w:tcPr>
            <w:tcW w:w="283" w:type="dxa"/>
            <w:vAlign w:val="center"/>
          </w:tcPr>
          <w:p w14:paraId="6ED98474" w14:textId="77777777" w:rsidR="00F9256D" w:rsidRPr="002E2884" w:rsidRDefault="00F9256D" w:rsidP="005A6108">
            <w:pPr>
              <w:spacing w:before="120" w:after="120" w:line="240" w:lineRule="auto"/>
              <w:rPr>
                <w:b/>
                <w:sz w:val="18"/>
                <w:szCs w:val="18"/>
                <w:lang w:eastAsia="de-DE"/>
              </w:rPr>
            </w:pPr>
          </w:p>
        </w:tc>
        <w:tc>
          <w:tcPr>
            <w:tcW w:w="907" w:type="dxa"/>
            <w:tcBorders>
              <w:bottom w:val="single" w:sz="8" w:space="0" w:color="auto"/>
            </w:tcBorders>
            <w:vAlign w:val="center"/>
          </w:tcPr>
          <w:p w14:paraId="29BB3B5F" w14:textId="77777777" w:rsidR="00F9256D" w:rsidRPr="002E2884" w:rsidRDefault="00F9256D" w:rsidP="005A6108">
            <w:pPr>
              <w:spacing w:before="120" w:after="120" w:line="240" w:lineRule="auto"/>
              <w:jc w:val="center"/>
              <w:rPr>
                <w:b/>
                <w:sz w:val="18"/>
                <w:szCs w:val="18"/>
                <w:lang w:eastAsia="de-DE"/>
              </w:rPr>
            </w:pPr>
            <w:r w:rsidRPr="002E2884">
              <w:rPr>
                <w:b/>
                <w:sz w:val="18"/>
                <w:szCs w:val="18"/>
                <w:lang w:eastAsia="de-DE"/>
              </w:rPr>
              <w:t>Cores/</w:t>
            </w:r>
            <w:r w:rsidRPr="002E2884">
              <w:rPr>
                <w:b/>
                <w:sz w:val="18"/>
                <w:szCs w:val="18"/>
                <w:lang w:eastAsia="de-DE"/>
              </w:rPr>
              <w:br/>
              <w:t>(P + E)</w:t>
            </w:r>
          </w:p>
        </w:tc>
        <w:tc>
          <w:tcPr>
            <w:tcW w:w="236" w:type="dxa"/>
            <w:vAlign w:val="center"/>
          </w:tcPr>
          <w:p w14:paraId="0EE16E47" w14:textId="77777777" w:rsidR="00F9256D" w:rsidRPr="002E2884" w:rsidRDefault="00F9256D" w:rsidP="005A6108">
            <w:pPr>
              <w:spacing w:before="120" w:after="120" w:line="240" w:lineRule="auto"/>
              <w:jc w:val="center"/>
              <w:rPr>
                <w:b/>
                <w:sz w:val="18"/>
                <w:szCs w:val="18"/>
                <w:lang w:eastAsia="de-DE"/>
              </w:rPr>
            </w:pPr>
          </w:p>
        </w:tc>
        <w:tc>
          <w:tcPr>
            <w:tcW w:w="1191" w:type="dxa"/>
            <w:tcBorders>
              <w:bottom w:val="single" w:sz="8" w:space="0" w:color="auto"/>
            </w:tcBorders>
            <w:vAlign w:val="center"/>
          </w:tcPr>
          <w:p w14:paraId="79504732" w14:textId="086C6E36" w:rsidR="00F9256D" w:rsidRPr="002E2884" w:rsidRDefault="00F9256D" w:rsidP="005A6108">
            <w:pPr>
              <w:spacing w:before="120" w:after="120" w:line="240" w:lineRule="auto"/>
              <w:jc w:val="center"/>
              <w:rPr>
                <w:b/>
                <w:sz w:val="18"/>
                <w:szCs w:val="18"/>
                <w:lang w:eastAsia="de-DE"/>
              </w:rPr>
            </w:pPr>
            <w:r w:rsidRPr="002E2884">
              <w:rPr>
                <w:b/>
                <w:sz w:val="18"/>
                <w:szCs w:val="18"/>
                <w:lang w:eastAsia="de-DE"/>
              </w:rPr>
              <w:t>P-</w:t>
            </w:r>
            <w:r w:rsidR="00632FFC">
              <w:rPr>
                <w:b/>
                <w:sz w:val="18"/>
                <w:szCs w:val="18"/>
                <w:lang w:eastAsia="de-DE"/>
              </w:rPr>
              <w:t>C</w:t>
            </w:r>
            <w:r w:rsidRPr="002E2884">
              <w:rPr>
                <w:b/>
                <w:sz w:val="18"/>
                <w:szCs w:val="18"/>
                <w:lang w:eastAsia="de-DE"/>
              </w:rPr>
              <w:t>ores</w:t>
            </w:r>
            <w:r w:rsidRPr="002E2884">
              <w:rPr>
                <w:b/>
                <w:sz w:val="18"/>
                <w:szCs w:val="18"/>
                <w:lang w:eastAsia="de-DE"/>
              </w:rPr>
              <w:br/>
            </w:r>
            <w:r w:rsidR="00632FFC">
              <w:rPr>
                <w:b/>
                <w:sz w:val="18"/>
                <w:szCs w:val="18"/>
                <w:lang w:eastAsia="de-DE"/>
              </w:rPr>
              <w:t>Takt</w:t>
            </w:r>
            <w:r w:rsidRPr="002E2884">
              <w:rPr>
                <w:b/>
                <w:sz w:val="18"/>
                <w:szCs w:val="18"/>
                <w:lang w:eastAsia="de-DE"/>
              </w:rPr>
              <w:t xml:space="preserve"> [GHz] </w:t>
            </w:r>
          </w:p>
        </w:tc>
        <w:tc>
          <w:tcPr>
            <w:tcW w:w="236" w:type="dxa"/>
          </w:tcPr>
          <w:p w14:paraId="17C84C37" w14:textId="77777777" w:rsidR="00F9256D" w:rsidRPr="002E2884" w:rsidRDefault="00F9256D" w:rsidP="005A6108">
            <w:pPr>
              <w:spacing w:before="120" w:after="120" w:line="240" w:lineRule="auto"/>
              <w:jc w:val="center"/>
              <w:rPr>
                <w:b/>
                <w:sz w:val="18"/>
                <w:szCs w:val="18"/>
                <w:lang w:eastAsia="de-DE"/>
              </w:rPr>
            </w:pPr>
          </w:p>
        </w:tc>
        <w:tc>
          <w:tcPr>
            <w:tcW w:w="1191" w:type="dxa"/>
            <w:tcBorders>
              <w:bottom w:val="single" w:sz="8" w:space="0" w:color="auto"/>
            </w:tcBorders>
            <w:vAlign w:val="center"/>
          </w:tcPr>
          <w:p w14:paraId="7A20A7FA" w14:textId="4BD8A48C" w:rsidR="00F9256D" w:rsidRPr="002E2884" w:rsidRDefault="00F9256D" w:rsidP="005A6108">
            <w:pPr>
              <w:spacing w:before="120" w:after="120" w:line="240" w:lineRule="auto"/>
              <w:jc w:val="center"/>
              <w:rPr>
                <w:b/>
                <w:sz w:val="18"/>
                <w:szCs w:val="18"/>
                <w:lang w:eastAsia="de-DE"/>
              </w:rPr>
            </w:pPr>
            <w:r w:rsidRPr="002E2884">
              <w:rPr>
                <w:b/>
                <w:sz w:val="18"/>
                <w:szCs w:val="18"/>
                <w:lang w:eastAsia="de-DE"/>
              </w:rPr>
              <w:t>E-</w:t>
            </w:r>
            <w:r w:rsidR="00137A50">
              <w:rPr>
                <w:b/>
                <w:sz w:val="18"/>
                <w:szCs w:val="18"/>
                <w:lang w:eastAsia="de-DE"/>
              </w:rPr>
              <w:t>C</w:t>
            </w:r>
            <w:r w:rsidRPr="002E2884">
              <w:rPr>
                <w:b/>
                <w:sz w:val="18"/>
                <w:szCs w:val="18"/>
                <w:lang w:eastAsia="de-DE"/>
              </w:rPr>
              <w:t>ores</w:t>
            </w:r>
            <w:r w:rsidRPr="002E2884">
              <w:rPr>
                <w:b/>
                <w:sz w:val="18"/>
                <w:szCs w:val="18"/>
                <w:lang w:eastAsia="de-DE"/>
              </w:rPr>
              <w:br/>
            </w:r>
            <w:r w:rsidR="00137A50">
              <w:rPr>
                <w:b/>
                <w:sz w:val="18"/>
                <w:szCs w:val="18"/>
                <w:lang w:eastAsia="de-DE"/>
              </w:rPr>
              <w:t>Takt</w:t>
            </w:r>
            <w:r w:rsidRPr="002E2884">
              <w:rPr>
                <w:b/>
                <w:sz w:val="18"/>
                <w:szCs w:val="18"/>
                <w:lang w:eastAsia="de-DE"/>
              </w:rPr>
              <w:t xml:space="preserve"> [GHz]</w:t>
            </w:r>
          </w:p>
        </w:tc>
        <w:tc>
          <w:tcPr>
            <w:tcW w:w="236" w:type="dxa"/>
            <w:vAlign w:val="center"/>
          </w:tcPr>
          <w:p w14:paraId="51D92565" w14:textId="77777777" w:rsidR="00F9256D" w:rsidRPr="002E2884" w:rsidRDefault="00F9256D" w:rsidP="005A6108">
            <w:pPr>
              <w:spacing w:before="120" w:after="120" w:line="240" w:lineRule="auto"/>
              <w:jc w:val="center"/>
              <w:rPr>
                <w:b/>
                <w:sz w:val="18"/>
                <w:szCs w:val="18"/>
                <w:lang w:eastAsia="de-DE"/>
              </w:rPr>
            </w:pPr>
          </w:p>
        </w:tc>
        <w:tc>
          <w:tcPr>
            <w:tcW w:w="1020" w:type="dxa"/>
            <w:tcBorders>
              <w:bottom w:val="single" w:sz="8" w:space="0" w:color="auto"/>
            </w:tcBorders>
            <w:vAlign w:val="center"/>
          </w:tcPr>
          <w:p w14:paraId="127C6C09" w14:textId="77777777" w:rsidR="00F9256D" w:rsidRPr="002E2884" w:rsidRDefault="00F9256D" w:rsidP="005A6108">
            <w:pPr>
              <w:spacing w:before="120" w:after="120" w:line="240" w:lineRule="auto"/>
              <w:jc w:val="center"/>
              <w:rPr>
                <w:b/>
                <w:sz w:val="18"/>
                <w:szCs w:val="18"/>
                <w:lang w:eastAsia="de-DE"/>
              </w:rPr>
            </w:pPr>
            <w:r w:rsidRPr="002E2884">
              <w:rPr>
                <w:b/>
                <w:sz w:val="18"/>
                <w:szCs w:val="18"/>
                <w:lang w:eastAsia="de-DE"/>
              </w:rPr>
              <w:t>GPU Compute Units</w:t>
            </w:r>
          </w:p>
        </w:tc>
        <w:tc>
          <w:tcPr>
            <w:tcW w:w="236" w:type="dxa"/>
            <w:vAlign w:val="center"/>
          </w:tcPr>
          <w:p w14:paraId="4A494EAA" w14:textId="77777777" w:rsidR="00F9256D" w:rsidRPr="002E2884" w:rsidRDefault="00F9256D" w:rsidP="005A6108">
            <w:pPr>
              <w:spacing w:before="120" w:after="120" w:line="240" w:lineRule="auto"/>
              <w:jc w:val="center"/>
              <w:rPr>
                <w:b/>
                <w:sz w:val="18"/>
                <w:szCs w:val="18"/>
                <w:lang w:eastAsia="de-DE"/>
              </w:rPr>
            </w:pPr>
          </w:p>
        </w:tc>
        <w:tc>
          <w:tcPr>
            <w:tcW w:w="850" w:type="dxa"/>
            <w:tcBorders>
              <w:bottom w:val="single" w:sz="8" w:space="0" w:color="auto"/>
            </w:tcBorders>
            <w:vAlign w:val="center"/>
          </w:tcPr>
          <w:p w14:paraId="795BAED7" w14:textId="77777777" w:rsidR="00F9256D" w:rsidRPr="002E2884" w:rsidRDefault="00F9256D" w:rsidP="005A6108">
            <w:pPr>
              <w:spacing w:before="120" w:after="120" w:line="240" w:lineRule="auto"/>
              <w:jc w:val="center"/>
              <w:rPr>
                <w:b/>
                <w:color w:val="262626"/>
                <w:sz w:val="18"/>
                <w:szCs w:val="18"/>
                <w:lang w:eastAsia="de-DE"/>
              </w:rPr>
            </w:pPr>
            <w:r w:rsidRPr="002E2884">
              <w:rPr>
                <w:b/>
                <w:bCs/>
                <w:sz w:val="18"/>
                <w:szCs w:val="18"/>
                <w:lang w:eastAsia="de-DE"/>
              </w:rPr>
              <w:t xml:space="preserve">CPU </w:t>
            </w:r>
            <w:r w:rsidRPr="002E2884">
              <w:rPr>
                <w:b/>
                <w:sz w:val="18"/>
                <w:szCs w:val="18"/>
                <w:lang w:eastAsia="de-DE"/>
              </w:rPr>
              <w:t>Base Power</w:t>
            </w:r>
            <w:r w:rsidRPr="002E2884" w:rsidDel="009A0C86">
              <w:rPr>
                <w:b/>
                <w:sz w:val="18"/>
                <w:szCs w:val="18"/>
                <w:lang w:eastAsia="de-DE"/>
              </w:rPr>
              <w:t xml:space="preserve"> </w:t>
            </w:r>
            <w:r w:rsidRPr="002E2884">
              <w:rPr>
                <w:b/>
                <w:sz w:val="18"/>
                <w:szCs w:val="18"/>
                <w:lang w:eastAsia="de-DE"/>
              </w:rPr>
              <w:t>[W]</w:t>
            </w:r>
          </w:p>
        </w:tc>
      </w:tr>
      <w:tr w:rsidR="00F9256D" w:rsidRPr="00173991" w14:paraId="3869F130" w14:textId="77777777" w:rsidTr="00A03EBE">
        <w:tc>
          <w:tcPr>
            <w:tcW w:w="2552" w:type="dxa"/>
            <w:tcBorders>
              <w:top w:val="single" w:sz="8" w:space="0" w:color="auto"/>
              <w:bottom w:val="single" w:sz="8" w:space="0" w:color="auto"/>
            </w:tcBorders>
            <w:vAlign w:val="center"/>
          </w:tcPr>
          <w:p w14:paraId="786A9F59" w14:textId="77777777" w:rsidR="00F9256D" w:rsidRPr="00516E8C" w:rsidRDefault="00F9256D" w:rsidP="005A6108">
            <w:pPr>
              <w:spacing w:before="120" w:after="120" w:line="240" w:lineRule="auto"/>
              <w:rPr>
                <w:sz w:val="18"/>
                <w:szCs w:val="18"/>
                <w:lang w:val="en-US" w:eastAsia="de-DE"/>
              </w:rPr>
            </w:pPr>
            <w:r w:rsidRPr="00516E8C">
              <w:rPr>
                <w:sz w:val="18"/>
                <w:szCs w:val="18"/>
                <w:lang w:val="en-US"/>
              </w:rPr>
              <w:t>conga-HPC/cALS-i9-12900E</w:t>
            </w:r>
          </w:p>
        </w:tc>
        <w:tc>
          <w:tcPr>
            <w:tcW w:w="283" w:type="dxa"/>
            <w:vAlign w:val="center"/>
          </w:tcPr>
          <w:p w14:paraId="2D7001C9" w14:textId="77777777" w:rsidR="00F9256D" w:rsidRPr="00516E8C" w:rsidRDefault="00F9256D" w:rsidP="005A6108">
            <w:pPr>
              <w:spacing w:before="120" w:after="120" w:line="240" w:lineRule="auto"/>
              <w:rPr>
                <w:sz w:val="18"/>
                <w:szCs w:val="18"/>
                <w:lang w:val="en-US"/>
              </w:rPr>
            </w:pPr>
          </w:p>
        </w:tc>
        <w:tc>
          <w:tcPr>
            <w:tcW w:w="907" w:type="dxa"/>
            <w:tcBorders>
              <w:top w:val="single" w:sz="8" w:space="0" w:color="auto"/>
              <w:bottom w:val="single" w:sz="8" w:space="0" w:color="auto"/>
            </w:tcBorders>
            <w:vAlign w:val="center"/>
          </w:tcPr>
          <w:p w14:paraId="3D013797" w14:textId="77777777" w:rsidR="00F9256D" w:rsidRPr="002E2884" w:rsidRDefault="00F9256D" w:rsidP="005A6108">
            <w:pPr>
              <w:spacing w:before="120" w:after="120" w:line="240" w:lineRule="auto"/>
              <w:jc w:val="center"/>
              <w:rPr>
                <w:sz w:val="18"/>
                <w:szCs w:val="18"/>
              </w:rPr>
            </w:pPr>
            <w:r w:rsidRPr="002E2884">
              <w:rPr>
                <w:sz w:val="18"/>
                <w:szCs w:val="18"/>
                <w:lang w:eastAsia="de-DE"/>
              </w:rPr>
              <w:t>16 (8+8)</w:t>
            </w:r>
          </w:p>
        </w:tc>
        <w:tc>
          <w:tcPr>
            <w:tcW w:w="236" w:type="dxa"/>
            <w:vAlign w:val="center"/>
          </w:tcPr>
          <w:p w14:paraId="72BE5ED7" w14:textId="77777777" w:rsidR="00F9256D" w:rsidRPr="002E2884" w:rsidRDefault="00F9256D" w:rsidP="005A6108">
            <w:pPr>
              <w:spacing w:before="120" w:after="120" w:line="240" w:lineRule="auto"/>
              <w:jc w:val="center"/>
              <w:rPr>
                <w:sz w:val="18"/>
                <w:szCs w:val="18"/>
                <w:lang w:eastAsia="de-DE"/>
              </w:rPr>
            </w:pPr>
          </w:p>
        </w:tc>
        <w:tc>
          <w:tcPr>
            <w:tcW w:w="1191" w:type="dxa"/>
            <w:tcBorders>
              <w:top w:val="single" w:sz="8" w:space="0" w:color="auto"/>
              <w:bottom w:val="single" w:sz="8" w:space="0" w:color="auto"/>
            </w:tcBorders>
            <w:vAlign w:val="center"/>
          </w:tcPr>
          <w:p w14:paraId="0C4946C9" w14:textId="7CABEE33" w:rsidR="00F9256D" w:rsidRPr="002E2884" w:rsidRDefault="00F9256D" w:rsidP="005A6108">
            <w:pPr>
              <w:spacing w:before="120" w:after="120" w:line="240" w:lineRule="auto"/>
              <w:jc w:val="center"/>
              <w:rPr>
                <w:sz w:val="18"/>
                <w:szCs w:val="18"/>
                <w:lang w:eastAsia="de-DE"/>
              </w:rPr>
            </w:pPr>
            <w:r w:rsidRPr="002E2884">
              <w:rPr>
                <w:sz w:val="18"/>
                <w:szCs w:val="18"/>
                <w:lang w:eastAsia="de-DE"/>
              </w:rPr>
              <w:t>2</w:t>
            </w:r>
            <w:r w:rsidR="007A6886">
              <w:rPr>
                <w:sz w:val="18"/>
                <w:szCs w:val="18"/>
                <w:lang w:eastAsia="de-DE"/>
              </w:rPr>
              <w:t>,</w:t>
            </w:r>
            <w:r w:rsidRPr="002E2884">
              <w:rPr>
                <w:sz w:val="18"/>
                <w:szCs w:val="18"/>
                <w:lang w:eastAsia="de-DE"/>
              </w:rPr>
              <w:t>3 / 5</w:t>
            </w:r>
            <w:r w:rsidR="007A6886">
              <w:rPr>
                <w:sz w:val="18"/>
                <w:szCs w:val="18"/>
                <w:lang w:eastAsia="de-DE"/>
              </w:rPr>
              <w:t>,</w:t>
            </w:r>
            <w:r w:rsidRPr="002E2884">
              <w:rPr>
                <w:sz w:val="18"/>
                <w:szCs w:val="18"/>
                <w:lang w:eastAsia="de-DE"/>
              </w:rPr>
              <w:t>0</w:t>
            </w:r>
          </w:p>
        </w:tc>
        <w:tc>
          <w:tcPr>
            <w:tcW w:w="236" w:type="dxa"/>
          </w:tcPr>
          <w:p w14:paraId="722D370D" w14:textId="77777777" w:rsidR="00F9256D" w:rsidRPr="002E2884" w:rsidRDefault="00F9256D" w:rsidP="005A6108">
            <w:pPr>
              <w:spacing w:before="120" w:after="120" w:line="240" w:lineRule="auto"/>
              <w:jc w:val="center"/>
              <w:rPr>
                <w:sz w:val="18"/>
                <w:szCs w:val="18"/>
                <w:lang w:eastAsia="de-DE"/>
              </w:rPr>
            </w:pPr>
          </w:p>
        </w:tc>
        <w:tc>
          <w:tcPr>
            <w:tcW w:w="1191" w:type="dxa"/>
            <w:tcBorders>
              <w:top w:val="single" w:sz="8" w:space="0" w:color="auto"/>
              <w:bottom w:val="single" w:sz="8" w:space="0" w:color="auto"/>
            </w:tcBorders>
            <w:vAlign w:val="center"/>
          </w:tcPr>
          <w:p w14:paraId="4BA5EA1A" w14:textId="24224B75" w:rsidR="00F9256D" w:rsidRPr="002E2884" w:rsidRDefault="00F9256D" w:rsidP="005A6108">
            <w:pPr>
              <w:spacing w:before="120" w:after="120" w:line="240" w:lineRule="auto"/>
              <w:jc w:val="center"/>
              <w:rPr>
                <w:sz w:val="18"/>
                <w:szCs w:val="18"/>
                <w:lang w:eastAsia="de-DE"/>
              </w:rPr>
            </w:pPr>
            <w:r w:rsidRPr="002E2884">
              <w:rPr>
                <w:sz w:val="18"/>
                <w:szCs w:val="18"/>
                <w:lang w:eastAsia="de-DE"/>
              </w:rPr>
              <w:t>1</w:t>
            </w:r>
            <w:r w:rsidR="007A6886">
              <w:rPr>
                <w:sz w:val="18"/>
                <w:szCs w:val="18"/>
                <w:lang w:eastAsia="de-DE"/>
              </w:rPr>
              <w:t>,</w:t>
            </w:r>
            <w:r w:rsidRPr="002E2884">
              <w:rPr>
                <w:sz w:val="18"/>
                <w:szCs w:val="18"/>
                <w:lang w:eastAsia="de-DE"/>
              </w:rPr>
              <w:t>7 / 3</w:t>
            </w:r>
            <w:r w:rsidR="007A6886">
              <w:rPr>
                <w:sz w:val="18"/>
                <w:szCs w:val="18"/>
                <w:lang w:eastAsia="de-DE"/>
              </w:rPr>
              <w:t>,</w:t>
            </w:r>
            <w:r w:rsidRPr="002E2884">
              <w:rPr>
                <w:sz w:val="18"/>
                <w:szCs w:val="18"/>
                <w:lang w:eastAsia="de-DE"/>
              </w:rPr>
              <w:t>8</w:t>
            </w:r>
          </w:p>
        </w:tc>
        <w:tc>
          <w:tcPr>
            <w:tcW w:w="236" w:type="dxa"/>
            <w:vAlign w:val="center"/>
          </w:tcPr>
          <w:p w14:paraId="3712D55E" w14:textId="77777777" w:rsidR="00F9256D" w:rsidRPr="002E2884" w:rsidRDefault="00F9256D" w:rsidP="005A6108">
            <w:pPr>
              <w:spacing w:before="120" w:after="120" w:line="240" w:lineRule="auto"/>
              <w:jc w:val="center"/>
              <w:rPr>
                <w:sz w:val="18"/>
                <w:szCs w:val="18"/>
              </w:rPr>
            </w:pPr>
          </w:p>
        </w:tc>
        <w:tc>
          <w:tcPr>
            <w:tcW w:w="1020" w:type="dxa"/>
            <w:tcBorders>
              <w:top w:val="single" w:sz="8" w:space="0" w:color="auto"/>
              <w:bottom w:val="single" w:sz="8" w:space="0" w:color="auto"/>
            </w:tcBorders>
            <w:vAlign w:val="center"/>
          </w:tcPr>
          <w:p w14:paraId="68903C88" w14:textId="77777777" w:rsidR="00F9256D" w:rsidRPr="002E2884" w:rsidRDefault="00F9256D" w:rsidP="005A6108">
            <w:pPr>
              <w:spacing w:before="120" w:after="120" w:line="240" w:lineRule="auto"/>
              <w:jc w:val="center"/>
              <w:rPr>
                <w:sz w:val="18"/>
                <w:szCs w:val="18"/>
              </w:rPr>
            </w:pPr>
            <w:r w:rsidRPr="002E2884">
              <w:rPr>
                <w:sz w:val="18"/>
                <w:szCs w:val="18"/>
              </w:rPr>
              <w:t>32</w:t>
            </w:r>
          </w:p>
        </w:tc>
        <w:tc>
          <w:tcPr>
            <w:tcW w:w="236" w:type="dxa"/>
            <w:vAlign w:val="center"/>
          </w:tcPr>
          <w:p w14:paraId="006F0EE4" w14:textId="77777777" w:rsidR="00F9256D" w:rsidRPr="002E2884" w:rsidRDefault="00F9256D" w:rsidP="005A6108">
            <w:pPr>
              <w:spacing w:before="120" w:after="120" w:line="240" w:lineRule="auto"/>
              <w:rPr>
                <w:sz w:val="18"/>
                <w:szCs w:val="18"/>
              </w:rPr>
            </w:pPr>
          </w:p>
        </w:tc>
        <w:tc>
          <w:tcPr>
            <w:tcW w:w="850" w:type="dxa"/>
            <w:tcBorders>
              <w:top w:val="single" w:sz="8" w:space="0" w:color="auto"/>
              <w:bottom w:val="single" w:sz="8" w:space="0" w:color="auto"/>
            </w:tcBorders>
            <w:vAlign w:val="center"/>
          </w:tcPr>
          <w:p w14:paraId="3F9B005E" w14:textId="77777777" w:rsidR="00F9256D" w:rsidRPr="002E2884" w:rsidRDefault="00F9256D" w:rsidP="005A6108">
            <w:pPr>
              <w:spacing w:before="120" w:after="120" w:line="240" w:lineRule="auto"/>
              <w:jc w:val="center"/>
              <w:rPr>
                <w:sz w:val="18"/>
                <w:szCs w:val="18"/>
              </w:rPr>
            </w:pPr>
            <w:r w:rsidRPr="002E2884">
              <w:rPr>
                <w:sz w:val="18"/>
                <w:szCs w:val="18"/>
              </w:rPr>
              <w:t>65</w:t>
            </w:r>
          </w:p>
        </w:tc>
      </w:tr>
      <w:tr w:rsidR="00F9256D" w:rsidRPr="00173991" w14:paraId="3E7FE3CC" w14:textId="77777777" w:rsidTr="00A03EBE">
        <w:tc>
          <w:tcPr>
            <w:tcW w:w="2552" w:type="dxa"/>
            <w:tcBorders>
              <w:top w:val="single" w:sz="8" w:space="0" w:color="auto"/>
              <w:bottom w:val="single" w:sz="8" w:space="0" w:color="auto"/>
            </w:tcBorders>
            <w:vAlign w:val="center"/>
          </w:tcPr>
          <w:p w14:paraId="535697FA" w14:textId="77777777" w:rsidR="00F9256D" w:rsidRPr="00516E8C" w:rsidRDefault="00F9256D" w:rsidP="005A6108">
            <w:pPr>
              <w:spacing w:before="120" w:after="120" w:line="240" w:lineRule="auto"/>
              <w:rPr>
                <w:sz w:val="18"/>
                <w:szCs w:val="18"/>
                <w:lang w:val="en-US" w:eastAsia="de-DE"/>
              </w:rPr>
            </w:pPr>
            <w:r w:rsidRPr="00516E8C">
              <w:rPr>
                <w:sz w:val="18"/>
                <w:szCs w:val="18"/>
                <w:lang w:val="en-US"/>
              </w:rPr>
              <w:t>conga-HPC/cALS-i7-12700E</w:t>
            </w:r>
          </w:p>
        </w:tc>
        <w:tc>
          <w:tcPr>
            <w:tcW w:w="283" w:type="dxa"/>
            <w:vAlign w:val="center"/>
          </w:tcPr>
          <w:p w14:paraId="3C112DFC" w14:textId="77777777" w:rsidR="00F9256D" w:rsidRPr="00516E8C" w:rsidRDefault="00F9256D" w:rsidP="005A6108">
            <w:pPr>
              <w:spacing w:before="120" w:after="120" w:line="240" w:lineRule="auto"/>
              <w:rPr>
                <w:sz w:val="18"/>
                <w:szCs w:val="18"/>
                <w:lang w:val="en-US"/>
              </w:rPr>
            </w:pPr>
          </w:p>
        </w:tc>
        <w:tc>
          <w:tcPr>
            <w:tcW w:w="907" w:type="dxa"/>
            <w:tcBorders>
              <w:top w:val="single" w:sz="8" w:space="0" w:color="auto"/>
              <w:bottom w:val="single" w:sz="8" w:space="0" w:color="auto"/>
            </w:tcBorders>
            <w:vAlign w:val="center"/>
          </w:tcPr>
          <w:p w14:paraId="7A1DE00E" w14:textId="77777777" w:rsidR="00F9256D" w:rsidRPr="002E2884" w:rsidRDefault="00F9256D" w:rsidP="005A6108">
            <w:pPr>
              <w:spacing w:before="120" w:after="120" w:line="240" w:lineRule="auto"/>
              <w:jc w:val="center"/>
              <w:rPr>
                <w:sz w:val="18"/>
                <w:szCs w:val="18"/>
                <w:lang w:eastAsia="de-DE"/>
              </w:rPr>
            </w:pPr>
            <w:r w:rsidRPr="002E2884">
              <w:rPr>
                <w:sz w:val="18"/>
                <w:szCs w:val="18"/>
                <w:lang w:eastAsia="de-DE"/>
              </w:rPr>
              <w:t>12 (8+4)</w:t>
            </w:r>
          </w:p>
        </w:tc>
        <w:tc>
          <w:tcPr>
            <w:tcW w:w="236" w:type="dxa"/>
            <w:vAlign w:val="center"/>
          </w:tcPr>
          <w:p w14:paraId="67296C2C" w14:textId="77777777" w:rsidR="00F9256D" w:rsidRPr="002E2884" w:rsidRDefault="00F9256D" w:rsidP="005A6108">
            <w:pPr>
              <w:spacing w:before="120" w:after="120" w:line="240" w:lineRule="auto"/>
              <w:jc w:val="center"/>
              <w:rPr>
                <w:sz w:val="18"/>
                <w:szCs w:val="18"/>
                <w:lang w:eastAsia="de-DE"/>
              </w:rPr>
            </w:pPr>
          </w:p>
        </w:tc>
        <w:tc>
          <w:tcPr>
            <w:tcW w:w="1191" w:type="dxa"/>
            <w:tcBorders>
              <w:top w:val="single" w:sz="8" w:space="0" w:color="auto"/>
              <w:bottom w:val="single" w:sz="8" w:space="0" w:color="auto"/>
            </w:tcBorders>
            <w:vAlign w:val="center"/>
          </w:tcPr>
          <w:p w14:paraId="3B27D430" w14:textId="659C01E0" w:rsidR="00F9256D" w:rsidRPr="002E2884" w:rsidRDefault="00F9256D" w:rsidP="005A6108">
            <w:pPr>
              <w:spacing w:before="120" w:after="120" w:line="240" w:lineRule="auto"/>
              <w:jc w:val="center"/>
              <w:rPr>
                <w:sz w:val="18"/>
                <w:szCs w:val="18"/>
                <w:lang w:eastAsia="de-DE"/>
              </w:rPr>
            </w:pPr>
            <w:r w:rsidRPr="002E2884">
              <w:rPr>
                <w:sz w:val="18"/>
                <w:szCs w:val="18"/>
                <w:lang w:eastAsia="de-DE"/>
              </w:rPr>
              <w:t>2</w:t>
            </w:r>
            <w:r w:rsidR="007A6886">
              <w:rPr>
                <w:sz w:val="18"/>
                <w:szCs w:val="18"/>
                <w:lang w:eastAsia="de-DE"/>
              </w:rPr>
              <w:t>,</w:t>
            </w:r>
            <w:r w:rsidRPr="002E2884">
              <w:rPr>
                <w:sz w:val="18"/>
                <w:szCs w:val="18"/>
                <w:lang w:eastAsia="de-DE"/>
              </w:rPr>
              <w:t>1 / 4</w:t>
            </w:r>
            <w:r w:rsidR="007A6886">
              <w:rPr>
                <w:sz w:val="18"/>
                <w:szCs w:val="18"/>
                <w:lang w:eastAsia="de-DE"/>
              </w:rPr>
              <w:t>,</w:t>
            </w:r>
            <w:r w:rsidRPr="002E2884">
              <w:rPr>
                <w:sz w:val="18"/>
                <w:szCs w:val="18"/>
                <w:lang w:eastAsia="de-DE"/>
              </w:rPr>
              <w:t>8</w:t>
            </w:r>
          </w:p>
        </w:tc>
        <w:tc>
          <w:tcPr>
            <w:tcW w:w="236" w:type="dxa"/>
          </w:tcPr>
          <w:p w14:paraId="0204071D" w14:textId="77777777" w:rsidR="00F9256D" w:rsidRPr="002E2884" w:rsidRDefault="00F9256D" w:rsidP="005A6108">
            <w:pPr>
              <w:spacing w:before="120" w:after="120" w:line="240" w:lineRule="auto"/>
              <w:jc w:val="center"/>
              <w:rPr>
                <w:sz w:val="18"/>
                <w:szCs w:val="18"/>
                <w:lang w:eastAsia="de-DE"/>
              </w:rPr>
            </w:pPr>
          </w:p>
        </w:tc>
        <w:tc>
          <w:tcPr>
            <w:tcW w:w="1191" w:type="dxa"/>
            <w:tcBorders>
              <w:top w:val="single" w:sz="8" w:space="0" w:color="auto"/>
              <w:bottom w:val="single" w:sz="8" w:space="0" w:color="auto"/>
            </w:tcBorders>
            <w:vAlign w:val="center"/>
          </w:tcPr>
          <w:p w14:paraId="6F91968F" w14:textId="09D47DEF" w:rsidR="00F9256D" w:rsidRPr="002E2884" w:rsidRDefault="00F9256D" w:rsidP="005A6108">
            <w:pPr>
              <w:spacing w:before="120" w:after="120" w:line="240" w:lineRule="auto"/>
              <w:jc w:val="center"/>
              <w:rPr>
                <w:sz w:val="18"/>
                <w:szCs w:val="18"/>
                <w:lang w:eastAsia="de-DE"/>
              </w:rPr>
            </w:pPr>
            <w:r w:rsidRPr="002E2884">
              <w:rPr>
                <w:sz w:val="18"/>
                <w:szCs w:val="18"/>
                <w:lang w:eastAsia="de-DE"/>
              </w:rPr>
              <w:t>1</w:t>
            </w:r>
            <w:r w:rsidR="007A6886">
              <w:rPr>
                <w:sz w:val="18"/>
                <w:szCs w:val="18"/>
                <w:lang w:eastAsia="de-DE"/>
              </w:rPr>
              <w:t>,</w:t>
            </w:r>
            <w:r w:rsidRPr="002E2884">
              <w:rPr>
                <w:sz w:val="18"/>
                <w:szCs w:val="18"/>
                <w:lang w:eastAsia="de-DE"/>
              </w:rPr>
              <w:t>6 / 3</w:t>
            </w:r>
            <w:r w:rsidR="007A6886">
              <w:rPr>
                <w:sz w:val="18"/>
                <w:szCs w:val="18"/>
                <w:lang w:eastAsia="de-DE"/>
              </w:rPr>
              <w:t>,</w:t>
            </w:r>
            <w:r w:rsidRPr="002E2884">
              <w:rPr>
                <w:sz w:val="18"/>
                <w:szCs w:val="18"/>
                <w:lang w:eastAsia="de-DE"/>
              </w:rPr>
              <w:t>6</w:t>
            </w:r>
          </w:p>
        </w:tc>
        <w:tc>
          <w:tcPr>
            <w:tcW w:w="236" w:type="dxa"/>
            <w:vAlign w:val="center"/>
          </w:tcPr>
          <w:p w14:paraId="3F49E08A" w14:textId="77777777" w:rsidR="00F9256D" w:rsidRPr="002E2884" w:rsidRDefault="00F9256D" w:rsidP="005A6108">
            <w:pPr>
              <w:spacing w:before="120" w:after="120" w:line="240" w:lineRule="auto"/>
              <w:jc w:val="center"/>
              <w:rPr>
                <w:sz w:val="18"/>
                <w:szCs w:val="18"/>
              </w:rPr>
            </w:pPr>
          </w:p>
        </w:tc>
        <w:tc>
          <w:tcPr>
            <w:tcW w:w="1020" w:type="dxa"/>
            <w:tcBorders>
              <w:top w:val="single" w:sz="8" w:space="0" w:color="auto"/>
              <w:bottom w:val="single" w:sz="8" w:space="0" w:color="auto"/>
            </w:tcBorders>
            <w:vAlign w:val="center"/>
          </w:tcPr>
          <w:p w14:paraId="1037F0F7" w14:textId="77777777" w:rsidR="00F9256D" w:rsidRPr="002E2884" w:rsidRDefault="00F9256D" w:rsidP="005A6108">
            <w:pPr>
              <w:spacing w:before="120" w:after="120" w:line="240" w:lineRule="auto"/>
              <w:jc w:val="center"/>
              <w:rPr>
                <w:sz w:val="18"/>
                <w:szCs w:val="18"/>
              </w:rPr>
            </w:pPr>
            <w:r w:rsidRPr="002E2884">
              <w:rPr>
                <w:sz w:val="18"/>
                <w:szCs w:val="18"/>
              </w:rPr>
              <w:t>32</w:t>
            </w:r>
          </w:p>
        </w:tc>
        <w:tc>
          <w:tcPr>
            <w:tcW w:w="236" w:type="dxa"/>
            <w:vAlign w:val="center"/>
          </w:tcPr>
          <w:p w14:paraId="4D23FD9C" w14:textId="77777777" w:rsidR="00F9256D" w:rsidRPr="002E2884" w:rsidRDefault="00F9256D" w:rsidP="005A6108">
            <w:pPr>
              <w:spacing w:before="120" w:after="120" w:line="240" w:lineRule="auto"/>
              <w:rPr>
                <w:sz w:val="18"/>
                <w:szCs w:val="18"/>
              </w:rPr>
            </w:pPr>
          </w:p>
        </w:tc>
        <w:tc>
          <w:tcPr>
            <w:tcW w:w="850" w:type="dxa"/>
            <w:tcBorders>
              <w:top w:val="single" w:sz="8" w:space="0" w:color="auto"/>
              <w:bottom w:val="single" w:sz="8" w:space="0" w:color="auto"/>
            </w:tcBorders>
            <w:vAlign w:val="center"/>
          </w:tcPr>
          <w:p w14:paraId="78C52741" w14:textId="77777777" w:rsidR="00F9256D" w:rsidRPr="002E2884" w:rsidRDefault="00F9256D" w:rsidP="005A6108">
            <w:pPr>
              <w:spacing w:before="120" w:after="120" w:line="240" w:lineRule="auto"/>
              <w:jc w:val="center"/>
              <w:rPr>
                <w:sz w:val="18"/>
                <w:szCs w:val="18"/>
              </w:rPr>
            </w:pPr>
            <w:r w:rsidRPr="002E2884">
              <w:rPr>
                <w:sz w:val="18"/>
                <w:szCs w:val="18"/>
              </w:rPr>
              <w:t>65</w:t>
            </w:r>
          </w:p>
        </w:tc>
      </w:tr>
      <w:tr w:rsidR="00F9256D" w:rsidRPr="00173991" w14:paraId="455759D5" w14:textId="77777777" w:rsidTr="00A03EBE">
        <w:tc>
          <w:tcPr>
            <w:tcW w:w="2552" w:type="dxa"/>
            <w:tcBorders>
              <w:top w:val="single" w:sz="8" w:space="0" w:color="auto"/>
              <w:bottom w:val="single" w:sz="8" w:space="0" w:color="auto"/>
            </w:tcBorders>
            <w:vAlign w:val="center"/>
          </w:tcPr>
          <w:p w14:paraId="4B52D443" w14:textId="77777777" w:rsidR="00F9256D" w:rsidRPr="00516E8C" w:rsidRDefault="00F9256D" w:rsidP="005A6108">
            <w:pPr>
              <w:spacing w:before="120" w:after="120" w:line="240" w:lineRule="auto"/>
              <w:rPr>
                <w:sz w:val="18"/>
                <w:szCs w:val="18"/>
                <w:lang w:val="en-US" w:eastAsia="de-DE"/>
              </w:rPr>
            </w:pPr>
            <w:r w:rsidRPr="00516E8C">
              <w:rPr>
                <w:sz w:val="18"/>
                <w:szCs w:val="18"/>
                <w:lang w:val="en-US"/>
              </w:rPr>
              <w:t>conga-HPC/cALS-i5-12500E</w:t>
            </w:r>
          </w:p>
        </w:tc>
        <w:tc>
          <w:tcPr>
            <w:tcW w:w="283" w:type="dxa"/>
            <w:vAlign w:val="center"/>
          </w:tcPr>
          <w:p w14:paraId="43A5EF4C" w14:textId="77777777" w:rsidR="00F9256D" w:rsidRPr="00516E8C" w:rsidRDefault="00F9256D" w:rsidP="005A6108">
            <w:pPr>
              <w:spacing w:before="120" w:after="120" w:line="240" w:lineRule="auto"/>
              <w:rPr>
                <w:sz w:val="18"/>
                <w:szCs w:val="18"/>
                <w:lang w:val="en-US"/>
              </w:rPr>
            </w:pPr>
          </w:p>
        </w:tc>
        <w:tc>
          <w:tcPr>
            <w:tcW w:w="907" w:type="dxa"/>
            <w:tcBorders>
              <w:top w:val="single" w:sz="8" w:space="0" w:color="auto"/>
              <w:bottom w:val="single" w:sz="8" w:space="0" w:color="auto"/>
            </w:tcBorders>
            <w:vAlign w:val="center"/>
          </w:tcPr>
          <w:p w14:paraId="4FDA1219" w14:textId="77777777" w:rsidR="00F9256D" w:rsidRPr="002E2884" w:rsidRDefault="00F9256D" w:rsidP="005A6108">
            <w:pPr>
              <w:spacing w:before="120" w:after="120" w:line="240" w:lineRule="auto"/>
              <w:jc w:val="center"/>
              <w:rPr>
                <w:sz w:val="18"/>
                <w:szCs w:val="18"/>
                <w:lang w:eastAsia="de-DE"/>
              </w:rPr>
            </w:pPr>
            <w:r w:rsidRPr="002E2884">
              <w:rPr>
                <w:sz w:val="18"/>
                <w:szCs w:val="18"/>
                <w:lang w:eastAsia="de-DE"/>
              </w:rPr>
              <w:t>6 (6+0)</w:t>
            </w:r>
          </w:p>
        </w:tc>
        <w:tc>
          <w:tcPr>
            <w:tcW w:w="236" w:type="dxa"/>
            <w:vAlign w:val="center"/>
          </w:tcPr>
          <w:p w14:paraId="7BF51A9A" w14:textId="77777777" w:rsidR="00F9256D" w:rsidRPr="002E2884" w:rsidRDefault="00F9256D" w:rsidP="005A6108">
            <w:pPr>
              <w:spacing w:before="120" w:after="120" w:line="240" w:lineRule="auto"/>
              <w:jc w:val="center"/>
              <w:rPr>
                <w:sz w:val="18"/>
                <w:szCs w:val="18"/>
                <w:lang w:eastAsia="de-DE"/>
              </w:rPr>
            </w:pPr>
          </w:p>
        </w:tc>
        <w:tc>
          <w:tcPr>
            <w:tcW w:w="1191" w:type="dxa"/>
            <w:tcBorders>
              <w:top w:val="single" w:sz="8" w:space="0" w:color="auto"/>
              <w:bottom w:val="single" w:sz="8" w:space="0" w:color="auto"/>
            </w:tcBorders>
            <w:vAlign w:val="center"/>
          </w:tcPr>
          <w:p w14:paraId="050A77C4" w14:textId="49545A4E" w:rsidR="00F9256D" w:rsidRPr="002E2884" w:rsidRDefault="00F9256D" w:rsidP="005A6108">
            <w:pPr>
              <w:spacing w:before="120" w:after="120" w:line="240" w:lineRule="auto"/>
              <w:jc w:val="center"/>
              <w:rPr>
                <w:sz w:val="18"/>
                <w:szCs w:val="18"/>
                <w:lang w:eastAsia="de-DE"/>
              </w:rPr>
            </w:pPr>
            <w:r w:rsidRPr="002E2884">
              <w:rPr>
                <w:sz w:val="18"/>
                <w:szCs w:val="18"/>
                <w:lang w:eastAsia="de-DE"/>
              </w:rPr>
              <w:t>2</w:t>
            </w:r>
            <w:r w:rsidR="007A6886">
              <w:rPr>
                <w:sz w:val="18"/>
                <w:szCs w:val="18"/>
                <w:lang w:eastAsia="de-DE"/>
              </w:rPr>
              <w:t>,</w:t>
            </w:r>
            <w:r w:rsidRPr="002E2884">
              <w:rPr>
                <w:sz w:val="18"/>
                <w:szCs w:val="18"/>
                <w:lang w:eastAsia="de-DE"/>
              </w:rPr>
              <w:t>9 / 4</w:t>
            </w:r>
            <w:r w:rsidR="007A6886">
              <w:rPr>
                <w:sz w:val="18"/>
                <w:szCs w:val="18"/>
                <w:lang w:eastAsia="de-DE"/>
              </w:rPr>
              <w:t>,</w:t>
            </w:r>
            <w:r w:rsidRPr="002E2884">
              <w:rPr>
                <w:sz w:val="18"/>
                <w:szCs w:val="18"/>
                <w:lang w:eastAsia="de-DE"/>
              </w:rPr>
              <w:t>5</w:t>
            </w:r>
          </w:p>
        </w:tc>
        <w:tc>
          <w:tcPr>
            <w:tcW w:w="236" w:type="dxa"/>
          </w:tcPr>
          <w:p w14:paraId="7DA14A61" w14:textId="77777777" w:rsidR="00F9256D" w:rsidRPr="002E2884" w:rsidRDefault="00F9256D" w:rsidP="005A6108">
            <w:pPr>
              <w:spacing w:before="120" w:after="120" w:line="240" w:lineRule="auto"/>
              <w:jc w:val="center"/>
              <w:rPr>
                <w:sz w:val="18"/>
                <w:szCs w:val="18"/>
                <w:lang w:eastAsia="de-DE"/>
              </w:rPr>
            </w:pPr>
          </w:p>
        </w:tc>
        <w:tc>
          <w:tcPr>
            <w:tcW w:w="1191" w:type="dxa"/>
            <w:tcBorders>
              <w:top w:val="single" w:sz="8" w:space="0" w:color="auto"/>
              <w:bottom w:val="single" w:sz="8" w:space="0" w:color="auto"/>
            </w:tcBorders>
            <w:vAlign w:val="center"/>
          </w:tcPr>
          <w:p w14:paraId="2FAF6393" w14:textId="77777777" w:rsidR="00F9256D" w:rsidRPr="002E2884" w:rsidRDefault="00F9256D" w:rsidP="005A6108">
            <w:pPr>
              <w:spacing w:before="120" w:after="120" w:line="240" w:lineRule="auto"/>
              <w:jc w:val="center"/>
              <w:rPr>
                <w:sz w:val="18"/>
                <w:szCs w:val="18"/>
                <w:lang w:eastAsia="de-DE"/>
              </w:rPr>
            </w:pPr>
            <w:r w:rsidRPr="002E2884">
              <w:rPr>
                <w:sz w:val="18"/>
                <w:szCs w:val="18"/>
                <w:lang w:eastAsia="de-DE"/>
              </w:rPr>
              <w:t>- / -</w:t>
            </w:r>
          </w:p>
        </w:tc>
        <w:tc>
          <w:tcPr>
            <w:tcW w:w="236" w:type="dxa"/>
            <w:vAlign w:val="center"/>
          </w:tcPr>
          <w:p w14:paraId="768BCD73" w14:textId="77777777" w:rsidR="00F9256D" w:rsidRPr="002E2884" w:rsidRDefault="00F9256D" w:rsidP="005A6108">
            <w:pPr>
              <w:spacing w:before="120" w:after="120" w:line="240" w:lineRule="auto"/>
              <w:jc w:val="center"/>
              <w:rPr>
                <w:sz w:val="18"/>
                <w:szCs w:val="18"/>
              </w:rPr>
            </w:pPr>
          </w:p>
        </w:tc>
        <w:tc>
          <w:tcPr>
            <w:tcW w:w="1020" w:type="dxa"/>
            <w:tcBorders>
              <w:top w:val="single" w:sz="8" w:space="0" w:color="auto"/>
              <w:bottom w:val="single" w:sz="8" w:space="0" w:color="auto"/>
            </w:tcBorders>
            <w:vAlign w:val="center"/>
          </w:tcPr>
          <w:p w14:paraId="6C55A6D1" w14:textId="77777777" w:rsidR="00F9256D" w:rsidRPr="002E2884" w:rsidRDefault="00F9256D" w:rsidP="005A6108">
            <w:pPr>
              <w:spacing w:before="120" w:after="120" w:line="240" w:lineRule="auto"/>
              <w:jc w:val="center"/>
              <w:rPr>
                <w:sz w:val="18"/>
                <w:szCs w:val="18"/>
              </w:rPr>
            </w:pPr>
            <w:r w:rsidRPr="002E2884">
              <w:rPr>
                <w:sz w:val="18"/>
                <w:szCs w:val="18"/>
              </w:rPr>
              <w:t>32</w:t>
            </w:r>
          </w:p>
        </w:tc>
        <w:tc>
          <w:tcPr>
            <w:tcW w:w="236" w:type="dxa"/>
            <w:vAlign w:val="center"/>
          </w:tcPr>
          <w:p w14:paraId="2CED8B73" w14:textId="77777777" w:rsidR="00F9256D" w:rsidRPr="002E2884" w:rsidRDefault="00F9256D" w:rsidP="005A6108">
            <w:pPr>
              <w:spacing w:before="120" w:after="120" w:line="240" w:lineRule="auto"/>
              <w:rPr>
                <w:sz w:val="18"/>
                <w:szCs w:val="18"/>
              </w:rPr>
            </w:pPr>
          </w:p>
        </w:tc>
        <w:tc>
          <w:tcPr>
            <w:tcW w:w="850" w:type="dxa"/>
            <w:tcBorders>
              <w:top w:val="single" w:sz="8" w:space="0" w:color="auto"/>
              <w:bottom w:val="single" w:sz="8" w:space="0" w:color="auto"/>
            </w:tcBorders>
            <w:vAlign w:val="center"/>
          </w:tcPr>
          <w:p w14:paraId="300B876E" w14:textId="77777777" w:rsidR="00F9256D" w:rsidRPr="002E2884" w:rsidRDefault="00F9256D" w:rsidP="005A6108">
            <w:pPr>
              <w:spacing w:before="120" w:after="120" w:line="240" w:lineRule="auto"/>
              <w:jc w:val="center"/>
              <w:rPr>
                <w:sz w:val="18"/>
                <w:szCs w:val="18"/>
              </w:rPr>
            </w:pPr>
            <w:r w:rsidRPr="002E2884">
              <w:rPr>
                <w:sz w:val="18"/>
                <w:szCs w:val="18"/>
              </w:rPr>
              <w:t>65</w:t>
            </w:r>
          </w:p>
        </w:tc>
      </w:tr>
      <w:tr w:rsidR="00F9256D" w:rsidRPr="00173991" w14:paraId="0B463E35" w14:textId="77777777" w:rsidTr="00A03EBE">
        <w:tc>
          <w:tcPr>
            <w:tcW w:w="2552" w:type="dxa"/>
            <w:tcBorders>
              <w:top w:val="single" w:sz="8" w:space="0" w:color="auto"/>
              <w:bottom w:val="single" w:sz="8" w:space="0" w:color="auto"/>
            </w:tcBorders>
            <w:vAlign w:val="center"/>
          </w:tcPr>
          <w:p w14:paraId="431E162C" w14:textId="77777777" w:rsidR="00F9256D" w:rsidRPr="00516E8C" w:rsidRDefault="00F9256D" w:rsidP="005A6108">
            <w:pPr>
              <w:spacing w:before="120" w:after="120" w:line="240" w:lineRule="auto"/>
              <w:rPr>
                <w:sz w:val="18"/>
                <w:szCs w:val="18"/>
                <w:lang w:val="en-US" w:eastAsia="de-DE"/>
              </w:rPr>
            </w:pPr>
            <w:r w:rsidRPr="00516E8C">
              <w:rPr>
                <w:sz w:val="18"/>
                <w:szCs w:val="18"/>
                <w:lang w:val="en-US"/>
              </w:rPr>
              <w:t>conga-HPC/cALS-i3-12100E</w:t>
            </w:r>
          </w:p>
        </w:tc>
        <w:tc>
          <w:tcPr>
            <w:tcW w:w="283" w:type="dxa"/>
            <w:vAlign w:val="center"/>
          </w:tcPr>
          <w:p w14:paraId="74456EFF" w14:textId="77777777" w:rsidR="00F9256D" w:rsidRPr="00516E8C" w:rsidRDefault="00F9256D" w:rsidP="005A6108">
            <w:pPr>
              <w:spacing w:before="120" w:after="120" w:line="240" w:lineRule="auto"/>
              <w:rPr>
                <w:sz w:val="18"/>
                <w:szCs w:val="18"/>
                <w:lang w:val="en-US"/>
              </w:rPr>
            </w:pPr>
          </w:p>
        </w:tc>
        <w:tc>
          <w:tcPr>
            <w:tcW w:w="907" w:type="dxa"/>
            <w:tcBorders>
              <w:top w:val="single" w:sz="8" w:space="0" w:color="auto"/>
              <w:bottom w:val="single" w:sz="8" w:space="0" w:color="auto"/>
            </w:tcBorders>
            <w:vAlign w:val="center"/>
          </w:tcPr>
          <w:p w14:paraId="26C024C0" w14:textId="77777777" w:rsidR="00F9256D" w:rsidRPr="002E2884" w:rsidRDefault="00F9256D" w:rsidP="005A6108">
            <w:pPr>
              <w:spacing w:before="120" w:after="120" w:line="240" w:lineRule="auto"/>
              <w:jc w:val="center"/>
              <w:rPr>
                <w:sz w:val="18"/>
                <w:szCs w:val="18"/>
                <w:lang w:eastAsia="de-DE"/>
              </w:rPr>
            </w:pPr>
            <w:r w:rsidRPr="002E2884">
              <w:rPr>
                <w:sz w:val="18"/>
                <w:szCs w:val="18"/>
                <w:lang w:eastAsia="de-DE"/>
              </w:rPr>
              <w:t>4 (4+0)</w:t>
            </w:r>
          </w:p>
        </w:tc>
        <w:tc>
          <w:tcPr>
            <w:tcW w:w="236" w:type="dxa"/>
            <w:vAlign w:val="center"/>
          </w:tcPr>
          <w:p w14:paraId="344E93D2" w14:textId="77777777" w:rsidR="00F9256D" w:rsidRPr="002E2884" w:rsidRDefault="00F9256D" w:rsidP="005A6108">
            <w:pPr>
              <w:spacing w:before="120" w:after="120" w:line="240" w:lineRule="auto"/>
              <w:jc w:val="center"/>
              <w:rPr>
                <w:sz w:val="18"/>
                <w:szCs w:val="18"/>
                <w:lang w:eastAsia="de-DE"/>
              </w:rPr>
            </w:pPr>
          </w:p>
        </w:tc>
        <w:tc>
          <w:tcPr>
            <w:tcW w:w="1191" w:type="dxa"/>
            <w:tcBorders>
              <w:top w:val="single" w:sz="8" w:space="0" w:color="auto"/>
              <w:bottom w:val="single" w:sz="8" w:space="0" w:color="auto"/>
            </w:tcBorders>
            <w:vAlign w:val="center"/>
          </w:tcPr>
          <w:p w14:paraId="4589B05D" w14:textId="211F8056" w:rsidR="00F9256D" w:rsidRPr="002E2884" w:rsidRDefault="00F9256D" w:rsidP="005A6108">
            <w:pPr>
              <w:spacing w:before="120" w:after="120" w:line="240" w:lineRule="auto"/>
              <w:jc w:val="center"/>
              <w:rPr>
                <w:sz w:val="18"/>
                <w:szCs w:val="18"/>
                <w:lang w:eastAsia="de-DE"/>
              </w:rPr>
            </w:pPr>
            <w:r w:rsidRPr="002E2884">
              <w:rPr>
                <w:sz w:val="18"/>
                <w:szCs w:val="18"/>
                <w:lang w:eastAsia="de-DE"/>
              </w:rPr>
              <w:t>3</w:t>
            </w:r>
            <w:r w:rsidR="007A6886">
              <w:rPr>
                <w:sz w:val="18"/>
                <w:szCs w:val="18"/>
                <w:lang w:eastAsia="de-DE"/>
              </w:rPr>
              <w:t>,</w:t>
            </w:r>
            <w:r w:rsidRPr="002E2884">
              <w:rPr>
                <w:sz w:val="18"/>
                <w:szCs w:val="18"/>
                <w:lang w:eastAsia="de-DE"/>
              </w:rPr>
              <w:t>2 / 4</w:t>
            </w:r>
            <w:r w:rsidR="007A6886">
              <w:rPr>
                <w:sz w:val="18"/>
                <w:szCs w:val="18"/>
                <w:lang w:eastAsia="de-DE"/>
              </w:rPr>
              <w:t>,</w:t>
            </w:r>
            <w:r w:rsidRPr="002E2884">
              <w:rPr>
                <w:sz w:val="18"/>
                <w:szCs w:val="18"/>
                <w:lang w:eastAsia="de-DE"/>
              </w:rPr>
              <w:t>2</w:t>
            </w:r>
          </w:p>
        </w:tc>
        <w:tc>
          <w:tcPr>
            <w:tcW w:w="236" w:type="dxa"/>
          </w:tcPr>
          <w:p w14:paraId="4E3FA7CA" w14:textId="77777777" w:rsidR="00F9256D" w:rsidRPr="002E2884" w:rsidRDefault="00F9256D" w:rsidP="005A6108">
            <w:pPr>
              <w:spacing w:before="120" w:after="120" w:line="240" w:lineRule="auto"/>
              <w:jc w:val="center"/>
              <w:rPr>
                <w:sz w:val="18"/>
                <w:szCs w:val="18"/>
                <w:lang w:eastAsia="de-DE"/>
              </w:rPr>
            </w:pPr>
          </w:p>
        </w:tc>
        <w:tc>
          <w:tcPr>
            <w:tcW w:w="1191" w:type="dxa"/>
            <w:tcBorders>
              <w:top w:val="single" w:sz="8" w:space="0" w:color="auto"/>
              <w:bottom w:val="single" w:sz="8" w:space="0" w:color="auto"/>
            </w:tcBorders>
            <w:vAlign w:val="center"/>
          </w:tcPr>
          <w:p w14:paraId="7B14DF93" w14:textId="77777777" w:rsidR="00F9256D" w:rsidRPr="002E2884" w:rsidRDefault="00F9256D" w:rsidP="005A6108">
            <w:pPr>
              <w:spacing w:before="120" w:after="120" w:line="240" w:lineRule="auto"/>
              <w:jc w:val="center"/>
              <w:rPr>
                <w:sz w:val="18"/>
                <w:szCs w:val="18"/>
                <w:lang w:eastAsia="de-DE"/>
              </w:rPr>
            </w:pPr>
            <w:r w:rsidRPr="002E2884">
              <w:rPr>
                <w:sz w:val="18"/>
                <w:szCs w:val="18"/>
                <w:lang w:eastAsia="de-DE"/>
              </w:rPr>
              <w:t>- / -</w:t>
            </w:r>
          </w:p>
        </w:tc>
        <w:tc>
          <w:tcPr>
            <w:tcW w:w="236" w:type="dxa"/>
            <w:vAlign w:val="center"/>
          </w:tcPr>
          <w:p w14:paraId="6AD1F985" w14:textId="77777777" w:rsidR="00F9256D" w:rsidRPr="002E2884" w:rsidRDefault="00F9256D" w:rsidP="005A6108">
            <w:pPr>
              <w:spacing w:before="120" w:after="120" w:line="240" w:lineRule="auto"/>
              <w:jc w:val="center"/>
              <w:rPr>
                <w:sz w:val="18"/>
                <w:szCs w:val="18"/>
              </w:rPr>
            </w:pPr>
          </w:p>
        </w:tc>
        <w:tc>
          <w:tcPr>
            <w:tcW w:w="1020" w:type="dxa"/>
            <w:tcBorders>
              <w:top w:val="single" w:sz="8" w:space="0" w:color="auto"/>
              <w:bottom w:val="single" w:sz="8" w:space="0" w:color="auto"/>
            </w:tcBorders>
            <w:vAlign w:val="center"/>
          </w:tcPr>
          <w:p w14:paraId="145E4B8B" w14:textId="77777777" w:rsidR="00F9256D" w:rsidRPr="002E2884" w:rsidRDefault="00F9256D" w:rsidP="005A6108">
            <w:pPr>
              <w:spacing w:before="120" w:after="120" w:line="240" w:lineRule="auto"/>
              <w:jc w:val="center"/>
              <w:rPr>
                <w:sz w:val="18"/>
                <w:szCs w:val="18"/>
              </w:rPr>
            </w:pPr>
            <w:r w:rsidRPr="002E2884">
              <w:rPr>
                <w:sz w:val="18"/>
                <w:szCs w:val="18"/>
              </w:rPr>
              <w:t>24</w:t>
            </w:r>
          </w:p>
        </w:tc>
        <w:tc>
          <w:tcPr>
            <w:tcW w:w="236" w:type="dxa"/>
            <w:vAlign w:val="center"/>
          </w:tcPr>
          <w:p w14:paraId="0084E074" w14:textId="77777777" w:rsidR="00F9256D" w:rsidRPr="002E2884" w:rsidRDefault="00F9256D" w:rsidP="005A6108">
            <w:pPr>
              <w:spacing w:before="120" w:after="120" w:line="240" w:lineRule="auto"/>
              <w:rPr>
                <w:sz w:val="18"/>
                <w:szCs w:val="18"/>
              </w:rPr>
            </w:pPr>
          </w:p>
        </w:tc>
        <w:tc>
          <w:tcPr>
            <w:tcW w:w="850" w:type="dxa"/>
            <w:tcBorders>
              <w:top w:val="single" w:sz="8" w:space="0" w:color="auto"/>
              <w:bottom w:val="single" w:sz="8" w:space="0" w:color="auto"/>
            </w:tcBorders>
            <w:vAlign w:val="center"/>
          </w:tcPr>
          <w:p w14:paraId="04A36429" w14:textId="77777777" w:rsidR="00F9256D" w:rsidRPr="002E2884" w:rsidRDefault="00F9256D" w:rsidP="005A6108">
            <w:pPr>
              <w:spacing w:before="120" w:after="120" w:line="240" w:lineRule="auto"/>
              <w:jc w:val="center"/>
              <w:rPr>
                <w:sz w:val="18"/>
                <w:szCs w:val="18"/>
              </w:rPr>
            </w:pPr>
            <w:r w:rsidRPr="002E2884">
              <w:rPr>
                <w:sz w:val="18"/>
                <w:szCs w:val="18"/>
              </w:rPr>
              <w:t>60</w:t>
            </w:r>
          </w:p>
        </w:tc>
      </w:tr>
    </w:tbl>
    <w:p w14:paraId="20CD36E7" w14:textId="77777777" w:rsidR="00F9256D" w:rsidRPr="00137A50" w:rsidRDefault="00F9256D" w:rsidP="00F9256D">
      <w:pPr>
        <w:rPr>
          <w:rStyle w:val="Kommentarzeichen1"/>
          <w:sz w:val="22"/>
          <w:szCs w:val="22"/>
        </w:rPr>
      </w:pPr>
    </w:p>
    <w:p w14:paraId="71D57DC7" w14:textId="77777777" w:rsidR="00137A50" w:rsidRPr="00137A50" w:rsidRDefault="00137A50" w:rsidP="00137A50">
      <w:pPr>
        <w:rPr>
          <w:rStyle w:val="Kommentarzeichen1"/>
          <w:sz w:val="22"/>
          <w:szCs w:val="22"/>
        </w:rPr>
      </w:pPr>
      <w:r w:rsidRPr="00137A50">
        <w:rPr>
          <w:rStyle w:val="Kommentarzeichen1"/>
          <w:sz w:val="22"/>
          <w:szCs w:val="22"/>
        </w:rPr>
        <w:t xml:space="preserve">Für das untere Ende der High-End-Desktop-Clients sind 10 weitere Varianten mit eingelöteten Prozessoren auf </w:t>
      </w:r>
      <w:proofErr w:type="spellStart"/>
      <w:r w:rsidRPr="00137A50">
        <w:rPr>
          <w:rStyle w:val="Kommentarzeichen1"/>
          <w:sz w:val="22"/>
          <w:szCs w:val="22"/>
        </w:rPr>
        <w:t>conga</w:t>
      </w:r>
      <w:proofErr w:type="spellEnd"/>
      <w:r w:rsidRPr="00137A50">
        <w:rPr>
          <w:rStyle w:val="Kommentarzeichen1"/>
          <w:sz w:val="22"/>
          <w:szCs w:val="22"/>
        </w:rPr>
        <w:t>-HPC/</w:t>
      </w:r>
      <w:proofErr w:type="spellStart"/>
      <w:r w:rsidRPr="00137A50">
        <w:rPr>
          <w:rStyle w:val="Kommentarzeichen1"/>
          <w:sz w:val="22"/>
          <w:szCs w:val="22"/>
        </w:rPr>
        <w:t>cALP</w:t>
      </w:r>
      <w:proofErr w:type="spellEnd"/>
      <w:r w:rsidRPr="00137A50">
        <w:rPr>
          <w:rStyle w:val="Kommentarzeichen1"/>
          <w:sz w:val="22"/>
          <w:szCs w:val="22"/>
        </w:rPr>
        <w:t xml:space="preserve"> COM-HPC Client Size A Modulen (95x120mm) verfügbar.</w:t>
      </w:r>
    </w:p>
    <w:p w14:paraId="26473667" w14:textId="77777777" w:rsidR="00137A50" w:rsidRPr="00137A50" w:rsidRDefault="00137A50" w:rsidP="00137A50">
      <w:pPr>
        <w:rPr>
          <w:rStyle w:val="Kommentarzeichen1"/>
          <w:sz w:val="22"/>
          <w:szCs w:val="22"/>
        </w:rPr>
      </w:pPr>
    </w:p>
    <w:p w14:paraId="14FED1AE" w14:textId="49CC1929" w:rsidR="00137A50" w:rsidRPr="00137A50" w:rsidRDefault="00137A50" w:rsidP="00137A50">
      <w:pPr>
        <w:rPr>
          <w:rStyle w:val="Kommentarzeichen1"/>
          <w:sz w:val="22"/>
          <w:szCs w:val="22"/>
        </w:rPr>
      </w:pPr>
      <w:r w:rsidRPr="00137A50">
        <w:rPr>
          <w:rStyle w:val="Kommentarzeichen1"/>
          <w:sz w:val="22"/>
          <w:szCs w:val="22"/>
        </w:rPr>
        <w:t>Das Design der Micro-ATX-</w:t>
      </w:r>
      <w:r>
        <w:rPr>
          <w:rStyle w:val="Kommentarzeichen1"/>
          <w:sz w:val="22"/>
          <w:szCs w:val="22"/>
        </w:rPr>
        <w:t>Carrierboard</w:t>
      </w:r>
      <w:r w:rsidRPr="00137A50">
        <w:rPr>
          <w:rStyle w:val="Kommentarzeichen1"/>
          <w:sz w:val="22"/>
          <w:szCs w:val="22"/>
        </w:rPr>
        <w:t xml:space="preserve"> kann an die Anforderungen der OEMs angepasst werden</w:t>
      </w:r>
      <w:r w:rsidR="00DB67D4">
        <w:rPr>
          <w:rStyle w:val="Kommentarzeichen1"/>
          <w:sz w:val="22"/>
          <w:szCs w:val="22"/>
        </w:rPr>
        <w:t xml:space="preserve">. </w:t>
      </w:r>
      <w:r w:rsidRPr="00137A50">
        <w:rPr>
          <w:rStyle w:val="Kommentarzeichen1"/>
          <w:sz w:val="22"/>
          <w:szCs w:val="22"/>
        </w:rPr>
        <w:t xml:space="preserve">Schaltpläne </w:t>
      </w:r>
      <w:r w:rsidR="007A6886">
        <w:rPr>
          <w:rStyle w:val="Kommentarzeichen1"/>
          <w:sz w:val="22"/>
          <w:szCs w:val="22"/>
        </w:rPr>
        <w:t>des PCB-Designs</w:t>
      </w:r>
      <w:r w:rsidRPr="00137A50">
        <w:rPr>
          <w:rStyle w:val="Kommentarzeichen1"/>
          <w:sz w:val="22"/>
          <w:szCs w:val="22"/>
        </w:rPr>
        <w:t xml:space="preserve"> sind auf Anfrage erhältlich. </w:t>
      </w:r>
      <w:r w:rsidR="00567C4C">
        <w:rPr>
          <w:rStyle w:val="Kommentarzeichen1"/>
          <w:sz w:val="22"/>
          <w:szCs w:val="22"/>
        </w:rPr>
        <w:t>Entwickler</w:t>
      </w:r>
      <w:r w:rsidRPr="00137A50">
        <w:rPr>
          <w:rStyle w:val="Kommentarzeichen1"/>
          <w:sz w:val="22"/>
          <w:szCs w:val="22"/>
        </w:rPr>
        <w:t>, die das Design von Carrier Boards mit COM-HPC Computer-on-Modules erlernen möchten, sind herzlich eingeladen, an den von congatec angebotenen COM-HPC-Schulungen teilzunehmen.</w:t>
      </w:r>
    </w:p>
    <w:p w14:paraId="0EBEC5E6" w14:textId="77777777" w:rsidR="00137A50" w:rsidRPr="00137A50" w:rsidRDefault="00137A50" w:rsidP="00137A50">
      <w:pPr>
        <w:rPr>
          <w:rStyle w:val="Kommentarzeichen1"/>
          <w:sz w:val="22"/>
          <w:szCs w:val="22"/>
        </w:rPr>
      </w:pPr>
    </w:p>
    <w:p w14:paraId="5C30BBD2" w14:textId="42E24B98" w:rsidR="00F9256D" w:rsidRPr="00137A50" w:rsidRDefault="00687992" w:rsidP="00137A50">
      <w:pPr>
        <w:rPr>
          <w:rStyle w:val="Kommentarzeichen1"/>
          <w:sz w:val="22"/>
          <w:szCs w:val="22"/>
        </w:rPr>
      </w:pPr>
      <w:r>
        <w:rPr>
          <w:rStyle w:val="Kommentarzeichen1"/>
          <w:sz w:val="22"/>
          <w:szCs w:val="22"/>
        </w:rPr>
        <w:t>Entwickler</w:t>
      </w:r>
      <w:r w:rsidR="00137A50" w:rsidRPr="00137A50">
        <w:rPr>
          <w:rStyle w:val="Kommentarzeichen1"/>
          <w:sz w:val="22"/>
          <w:szCs w:val="22"/>
        </w:rPr>
        <w:t xml:space="preserve"> können sich ihr Starter-Set</w:t>
      </w:r>
      <w:r w:rsidR="009A333C">
        <w:rPr>
          <w:rStyle w:val="Kommentarzeichen1"/>
          <w:sz w:val="22"/>
          <w:szCs w:val="22"/>
        </w:rPr>
        <w:t xml:space="preserve">, das unmittelbar </w:t>
      </w:r>
      <w:r w:rsidR="00137A50" w:rsidRPr="00137A50">
        <w:rPr>
          <w:rStyle w:val="Kommentarzeichen1"/>
          <w:sz w:val="22"/>
          <w:szCs w:val="22"/>
        </w:rPr>
        <w:t xml:space="preserve">im Feld </w:t>
      </w:r>
      <w:r w:rsidR="009A333C">
        <w:rPr>
          <w:rStyle w:val="Kommentarzeichen1"/>
          <w:sz w:val="22"/>
          <w:szCs w:val="22"/>
        </w:rPr>
        <w:t xml:space="preserve">einsetzbar ist, </w:t>
      </w:r>
      <w:r w:rsidR="00137A50" w:rsidRPr="00137A50">
        <w:rPr>
          <w:rStyle w:val="Kommentarzeichen1"/>
          <w:sz w:val="22"/>
          <w:szCs w:val="22"/>
        </w:rPr>
        <w:t xml:space="preserve">einfach zusammenstellen, indem sie </w:t>
      </w:r>
      <w:r w:rsidR="00496B6C">
        <w:rPr>
          <w:rStyle w:val="Kommentarzeichen1"/>
          <w:sz w:val="22"/>
          <w:szCs w:val="22"/>
        </w:rPr>
        <w:t>neben dem</w:t>
      </w:r>
      <w:r w:rsidR="00137A50" w:rsidRPr="00137A50">
        <w:rPr>
          <w:rStyle w:val="Kommentarzeichen1"/>
          <w:sz w:val="22"/>
          <w:szCs w:val="22"/>
        </w:rPr>
        <w:t xml:space="preserve"> </w:t>
      </w:r>
      <w:proofErr w:type="spellStart"/>
      <w:r w:rsidR="00137A50" w:rsidRPr="00137A50">
        <w:rPr>
          <w:rStyle w:val="Kommentarzeichen1"/>
          <w:sz w:val="22"/>
          <w:szCs w:val="22"/>
        </w:rPr>
        <w:t>conga</w:t>
      </w:r>
      <w:proofErr w:type="spellEnd"/>
      <w:r w:rsidR="00137A50" w:rsidRPr="00137A50">
        <w:rPr>
          <w:rStyle w:val="Kommentarzeichen1"/>
          <w:sz w:val="22"/>
          <w:szCs w:val="22"/>
        </w:rPr>
        <w:t>-HPC/</w:t>
      </w:r>
      <w:proofErr w:type="spellStart"/>
      <w:r w:rsidR="00137A50" w:rsidRPr="00137A50">
        <w:rPr>
          <w:rStyle w:val="Kommentarzeichen1"/>
          <w:sz w:val="22"/>
          <w:szCs w:val="22"/>
        </w:rPr>
        <w:t>uATX</w:t>
      </w:r>
      <w:proofErr w:type="spellEnd"/>
      <w:r w:rsidR="00137A50" w:rsidRPr="00137A50">
        <w:rPr>
          <w:rStyle w:val="Kommentarzeichen1"/>
          <w:sz w:val="22"/>
          <w:szCs w:val="22"/>
        </w:rPr>
        <w:t xml:space="preserve"> Carrier-Board im Micro-ATX-Formfaktor eines </w:t>
      </w:r>
      <w:r w:rsidR="00496B6C">
        <w:rPr>
          <w:rStyle w:val="Kommentarzeichen1"/>
          <w:sz w:val="22"/>
          <w:szCs w:val="22"/>
        </w:rPr>
        <w:t xml:space="preserve">der </w:t>
      </w:r>
      <w:r w:rsidR="00496B6C" w:rsidRPr="00137A50">
        <w:rPr>
          <w:rStyle w:val="Kommentarzeichen1"/>
          <w:sz w:val="22"/>
          <w:szCs w:val="22"/>
        </w:rPr>
        <w:t>congatec</w:t>
      </w:r>
      <w:r w:rsidR="00496B6C">
        <w:rPr>
          <w:rStyle w:val="Kommentarzeichen1"/>
          <w:sz w:val="22"/>
          <w:szCs w:val="22"/>
        </w:rPr>
        <w:t xml:space="preserve"> </w:t>
      </w:r>
      <w:r w:rsidR="00137A50" w:rsidRPr="00137A50">
        <w:rPr>
          <w:rStyle w:val="Kommentarzeichen1"/>
          <w:sz w:val="22"/>
          <w:szCs w:val="22"/>
        </w:rPr>
        <w:t xml:space="preserve">COM-HPC Client Computer-on-Modules </w:t>
      </w:r>
      <w:r w:rsidR="00496B6C">
        <w:rPr>
          <w:rStyle w:val="Kommentarzeichen1"/>
          <w:sz w:val="22"/>
          <w:szCs w:val="22"/>
        </w:rPr>
        <w:t xml:space="preserve">auswählen und die </w:t>
      </w:r>
      <w:r w:rsidR="009A333C">
        <w:rPr>
          <w:rStyle w:val="Kommentarzeichen1"/>
          <w:sz w:val="22"/>
          <w:szCs w:val="22"/>
        </w:rPr>
        <w:t>auf</w:t>
      </w:r>
      <w:r w:rsidR="00496B6C">
        <w:rPr>
          <w:rStyle w:val="Kommentarzeichen1"/>
          <w:sz w:val="22"/>
          <w:szCs w:val="22"/>
        </w:rPr>
        <w:t xml:space="preserve"> </w:t>
      </w:r>
      <w:r w:rsidR="009A333C">
        <w:rPr>
          <w:rStyle w:val="Kommentarzeichen1"/>
          <w:sz w:val="22"/>
          <w:szCs w:val="22"/>
        </w:rPr>
        <w:t xml:space="preserve">das </w:t>
      </w:r>
      <w:r w:rsidR="00137A50" w:rsidRPr="00137A50">
        <w:rPr>
          <w:rStyle w:val="Kommentarzeichen1"/>
          <w:sz w:val="22"/>
          <w:szCs w:val="22"/>
        </w:rPr>
        <w:t xml:space="preserve">jeweilige Modul zugeschnittene Kühllösungen </w:t>
      </w:r>
      <w:r w:rsidR="00496B6C">
        <w:rPr>
          <w:rStyle w:val="Kommentarzeichen1"/>
          <w:sz w:val="22"/>
          <w:szCs w:val="22"/>
        </w:rPr>
        <w:t>sowie</w:t>
      </w:r>
      <w:r w:rsidR="00137A50" w:rsidRPr="00137A50">
        <w:rPr>
          <w:rStyle w:val="Kommentarzeichen1"/>
          <w:sz w:val="22"/>
          <w:szCs w:val="22"/>
        </w:rPr>
        <w:t xml:space="preserve"> den </w:t>
      </w:r>
      <w:r w:rsidR="00941EA3">
        <w:rPr>
          <w:rStyle w:val="Kommentarzeichen1"/>
          <w:sz w:val="22"/>
          <w:szCs w:val="22"/>
        </w:rPr>
        <w:t>benötigten</w:t>
      </w:r>
      <w:r w:rsidR="00137A50" w:rsidRPr="00137A50">
        <w:rPr>
          <w:rStyle w:val="Kommentarzeichen1"/>
          <w:sz w:val="22"/>
          <w:szCs w:val="22"/>
        </w:rPr>
        <w:t xml:space="preserve"> </w:t>
      </w:r>
      <w:r w:rsidR="00496B6C">
        <w:rPr>
          <w:rStyle w:val="Kommentarzeichen1"/>
          <w:sz w:val="22"/>
          <w:szCs w:val="22"/>
        </w:rPr>
        <w:t xml:space="preserve">und </w:t>
      </w:r>
      <w:r w:rsidR="00137A50" w:rsidRPr="00137A50">
        <w:rPr>
          <w:rStyle w:val="Kommentarzeichen1"/>
          <w:sz w:val="22"/>
          <w:szCs w:val="22"/>
        </w:rPr>
        <w:t xml:space="preserve">congatec validierten DRAM im gleichen Paket </w:t>
      </w:r>
      <w:r w:rsidR="009A333C">
        <w:rPr>
          <w:rStyle w:val="Kommentarzeichen1"/>
          <w:sz w:val="22"/>
          <w:szCs w:val="22"/>
        </w:rPr>
        <w:t>ordern</w:t>
      </w:r>
      <w:r w:rsidR="00137A50" w:rsidRPr="00137A50">
        <w:rPr>
          <w:rStyle w:val="Kommentarzeichen1"/>
          <w:sz w:val="22"/>
          <w:szCs w:val="22"/>
        </w:rPr>
        <w:t xml:space="preserve">. Die Unterstützung der Hypervisor-Technologie von Real-Time Systems sowie die Betriebssystemunterstützung für Real-Time Linux und Wind River VxWorks machen diese Starter-Sets zu einem wirklich </w:t>
      </w:r>
      <w:r w:rsidR="009A333C">
        <w:rPr>
          <w:rStyle w:val="Kommentarzeichen1"/>
          <w:sz w:val="22"/>
          <w:szCs w:val="22"/>
        </w:rPr>
        <w:t>runden</w:t>
      </w:r>
      <w:r w:rsidR="00137A50" w:rsidRPr="00137A50">
        <w:rPr>
          <w:rStyle w:val="Kommentarzeichen1"/>
          <w:sz w:val="22"/>
          <w:szCs w:val="22"/>
        </w:rPr>
        <w:t xml:space="preserve"> Ökosystem-Paket, das die Entwicklung von Edge-Computing-Anwendungen erleichtert und beschleunigt.</w:t>
      </w:r>
    </w:p>
    <w:p w14:paraId="67EE7CF4" w14:textId="433C877D" w:rsidR="004822CB" w:rsidRDefault="004822CB" w:rsidP="00137A50"/>
    <w:p w14:paraId="0426A101" w14:textId="3CA186E4" w:rsidR="004822CB" w:rsidRPr="00137A50" w:rsidRDefault="009A333C" w:rsidP="00137A50">
      <w:r>
        <w:t>Alle Details zum</w:t>
      </w:r>
      <w:r w:rsidR="004822CB" w:rsidRPr="004822CB">
        <w:t xml:space="preserve"> gesamte</w:t>
      </w:r>
      <w:r>
        <w:t>n</w:t>
      </w:r>
      <w:r w:rsidR="004822CB" w:rsidRPr="004822CB">
        <w:t xml:space="preserve"> </w:t>
      </w:r>
      <w:r w:rsidR="004822CB">
        <w:t xml:space="preserve">Featureset </w:t>
      </w:r>
      <w:r w:rsidR="004822CB" w:rsidRPr="004822CB">
        <w:t>dieses brandneuen COM-HPC-</w:t>
      </w:r>
      <w:r w:rsidR="004822CB">
        <w:t xml:space="preserve">Carrierboards </w:t>
      </w:r>
      <w:r w:rsidR="004822CB" w:rsidRPr="004822CB">
        <w:t>im Micro-ATX-Motherboard-</w:t>
      </w:r>
      <w:r w:rsidR="004822CB">
        <w:t xml:space="preserve">Formfaktor </w:t>
      </w:r>
      <w:r>
        <w:t>finden</w:t>
      </w:r>
      <w:r w:rsidR="004822CB" w:rsidRPr="004822CB">
        <w:t xml:space="preserve"> Sie </w:t>
      </w:r>
      <w:r>
        <w:t xml:space="preserve">auf der </w:t>
      </w:r>
      <w:r w:rsidR="004822CB" w:rsidRPr="004822CB">
        <w:t xml:space="preserve">Produkt-Website: </w:t>
      </w:r>
      <w:hyperlink r:id="rId8" w:history="1">
        <w:r w:rsidR="004822CB" w:rsidRPr="005563D6">
          <w:rPr>
            <w:rStyle w:val="Hyperlink"/>
          </w:rPr>
          <w:t>https://www.congatec.com/de/produkte/zubehoer/conga-hpc-uatx</w:t>
        </w:r>
      </w:hyperlink>
      <w:r w:rsidR="004822CB">
        <w:t xml:space="preserve"> </w:t>
      </w:r>
    </w:p>
    <w:p w14:paraId="7471E990" w14:textId="77777777" w:rsidR="00F9256D" w:rsidRPr="004822CB" w:rsidRDefault="00F9256D" w:rsidP="00F9256D"/>
    <w:p w14:paraId="776ABFB2" w14:textId="3DAC6169" w:rsidR="00F9256D" w:rsidRDefault="00445A01" w:rsidP="00F9256D">
      <w:r w:rsidRPr="00445A01">
        <w:t xml:space="preserve">Passende COM-HPC-Module für das neue Micro-ATX-Motherboard mit </w:t>
      </w:r>
      <w:proofErr w:type="spellStart"/>
      <w:r w:rsidRPr="00445A01">
        <w:t>gesockelten</w:t>
      </w:r>
      <w:proofErr w:type="spellEnd"/>
      <w:r w:rsidRPr="00445A01">
        <w:t xml:space="preserve"> Intel Core-Prozessoren der 12. Generation </w:t>
      </w:r>
      <w:r w:rsidR="009A333C">
        <w:t xml:space="preserve">finden </w:t>
      </w:r>
      <w:r w:rsidRPr="00445A01">
        <w:t xml:space="preserve">Sie auf </w:t>
      </w:r>
      <w:hyperlink r:id="rId9" w:history="1">
        <w:r w:rsidRPr="00445A01">
          <w:rPr>
            <w:rStyle w:val="Hyperlink"/>
          </w:rPr>
          <w:t>https://www.congatec.com/de/produkte/com-hpc/conga-hpccals/</w:t>
        </w:r>
      </w:hyperlink>
      <w:r w:rsidR="00825615">
        <w:rPr>
          <w:rStyle w:val="Hyperlink"/>
        </w:rPr>
        <w:t>,</w:t>
      </w:r>
      <w:r w:rsidR="00122AFF">
        <w:t xml:space="preserve"> d</w:t>
      </w:r>
      <w:r w:rsidRPr="00445A01">
        <w:t xml:space="preserve">ie BGA-gelöteten </w:t>
      </w:r>
      <w:r>
        <w:t>Intel Core Prozessor-</w:t>
      </w:r>
      <w:r w:rsidRPr="00445A01">
        <w:t xml:space="preserve">Varianten </w:t>
      </w:r>
      <w:r>
        <w:t xml:space="preserve">der 12. </w:t>
      </w:r>
      <w:r w:rsidRPr="004822CB">
        <w:t xml:space="preserve">Generation unter </w:t>
      </w:r>
      <w:hyperlink r:id="rId10" w:history="1">
        <w:r w:rsidR="004822CB" w:rsidRPr="005563D6">
          <w:rPr>
            <w:rStyle w:val="Hyperlink"/>
          </w:rPr>
          <w:t>https://www.congatec.com/de/produkte/com-hpc/conga-hpccalp/</w:t>
        </w:r>
      </w:hyperlink>
    </w:p>
    <w:p w14:paraId="434B8856" w14:textId="77777777" w:rsidR="004822CB" w:rsidRPr="004822CB" w:rsidRDefault="004822CB" w:rsidP="00F9256D"/>
    <w:p w14:paraId="24545D0A" w14:textId="533591F8" w:rsidR="00467E79" w:rsidRDefault="005A0C28" w:rsidP="00061C51">
      <w:r w:rsidRPr="005A0C28">
        <w:t xml:space="preserve">Für Informationen über die zukünftige </w:t>
      </w:r>
      <w:r>
        <w:t>Performance</w:t>
      </w:r>
      <w:r w:rsidRPr="005A0C28">
        <w:t>skalierbarkeit des COM-HPC Carrier</w:t>
      </w:r>
      <w:r w:rsidR="00633BB0">
        <w:t>b</w:t>
      </w:r>
      <w:r w:rsidRPr="005A0C28">
        <w:t xml:space="preserve">oards </w:t>
      </w:r>
      <w:r w:rsidR="00633BB0">
        <w:t xml:space="preserve">im </w:t>
      </w:r>
      <w:r w:rsidRPr="005A0C28">
        <w:t>Micro-ATX-Motherboard-</w:t>
      </w:r>
      <w:r w:rsidR="00633BB0">
        <w:t>Formfaktor</w:t>
      </w:r>
      <w:r w:rsidR="00395998">
        <w:t xml:space="preserve"> </w:t>
      </w:r>
      <w:r w:rsidRPr="005A0C28">
        <w:t xml:space="preserve">wenden Sie sich bitte an </w:t>
      </w:r>
      <w:hyperlink r:id="rId11" w:history="1">
        <w:r w:rsidR="0032374D" w:rsidRPr="005563D6">
          <w:rPr>
            <w:rStyle w:val="Hyperlink"/>
          </w:rPr>
          <w:t>sales@congatec.com</w:t>
        </w:r>
      </w:hyperlink>
      <w:r w:rsidRPr="005A0C28">
        <w:t>, um eine persönliche Präsentation der COM-HPC Client Roadmap von congatec zu erhalten. Für bestimmte Informationen wird ein NDA benötigt.</w:t>
      </w:r>
    </w:p>
    <w:p w14:paraId="492DB13B" w14:textId="77777777" w:rsidR="00D27370" w:rsidRPr="005A0C28" w:rsidRDefault="00D27370" w:rsidP="00061C51"/>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63D1EF86"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2"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3"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4"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5"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01BB82B8" w14:textId="77777777" w:rsidR="00467E79" w:rsidRPr="009C4B5D" w:rsidRDefault="00467E79" w:rsidP="00467E79">
      <w:pPr>
        <w:pStyle w:val="Standard1"/>
        <w:rPr>
          <w:rFonts w:ascii="Arial" w:hAnsi="Arial" w:cs="Arial"/>
          <w:sz w:val="16"/>
          <w:szCs w:val="16"/>
        </w:rPr>
      </w:pPr>
    </w:p>
    <w:p w14:paraId="11927BFA" w14:textId="77777777" w:rsidR="00467E79" w:rsidRPr="009C4B5D" w:rsidRDefault="00467E79" w:rsidP="00467E79">
      <w:pPr>
        <w:pStyle w:val="Standard1"/>
        <w:rPr>
          <w:rFonts w:ascii="Arial" w:hAnsi="Arial" w:cs="Arial"/>
          <w:sz w:val="16"/>
          <w:szCs w:val="16"/>
        </w:rPr>
      </w:pPr>
    </w:p>
    <w:tbl>
      <w:tblPr>
        <w:tblW w:w="0" w:type="auto"/>
        <w:tblLayout w:type="fixed"/>
        <w:tblCellMar>
          <w:left w:w="0" w:type="dxa"/>
          <w:right w:w="0" w:type="dxa"/>
        </w:tblCellMar>
        <w:tblLook w:val="0000" w:firstRow="0" w:lastRow="0" w:firstColumn="0" w:lastColumn="0" w:noHBand="0" w:noVBand="0"/>
      </w:tblPr>
      <w:tblGrid>
        <w:gridCol w:w="3119"/>
        <w:gridCol w:w="2977"/>
      </w:tblGrid>
      <w:tr w:rsidR="00467E79" w:rsidRPr="009C4B5D" w14:paraId="47CE18FB" w14:textId="77777777" w:rsidTr="00315B89">
        <w:trPr>
          <w:trHeight w:val="270"/>
        </w:trPr>
        <w:tc>
          <w:tcPr>
            <w:tcW w:w="3119" w:type="dxa"/>
            <w:shd w:val="clear" w:color="auto" w:fill="auto"/>
          </w:tcPr>
          <w:p w14:paraId="3BAAE2F7" w14:textId="77777777" w:rsidR="00C64155" w:rsidRPr="00587B69" w:rsidRDefault="00C64155" w:rsidP="00B066BD">
            <w:pPr>
              <w:pStyle w:val="Standard1"/>
              <w:snapToGrid w:val="0"/>
              <w:spacing w:line="276" w:lineRule="auto"/>
              <w:rPr>
                <w:rFonts w:ascii="Arial" w:hAnsi="Arial" w:cs="Arial"/>
                <w:b/>
                <w:sz w:val="22"/>
                <w:szCs w:val="22"/>
              </w:rPr>
            </w:pPr>
          </w:p>
          <w:p w14:paraId="25D1F09A" w14:textId="77777777" w:rsidR="00467E79" w:rsidRPr="00587B69" w:rsidRDefault="00467E79" w:rsidP="00B066BD">
            <w:pPr>
              <w:pStyle w:val="Standard1"/>
              <w:snapToGrid w:val="0"/>
              <w:spacing w:line="276" w:lineRule="auto"/>
              <w:rPr>
                <w:rFonts w:ascii="Arial" w:hAnsi="Arial" w:cs="Arial"/>
                <w:b/>
                <w:sz w:val="22"/>
                <w:szCs w:val="22"/>
              </w:rPr>
            </w:pPr>
            <w:r w:rsidRPr="00587B69">
              <w:rPr>
                <w:rFonts w:ascii="Arial" w:hAnsi="Arial" w:cs="Arial"/>
                <w:b/>
                <w:sz w:val="22"/>
                <w:szCs w:val="22"/>
              </w:rPr>
              <w:t>Leserkontakt:</w:t>
            </w:r>
          </w:p>
          <w:p w14:paraId="020819BE" w14:textId="68592890" w:rsidR="00467E79" w:rsidRPr="00587B69" w:rsidRDefault="00467E79" w:rsidP="00B066BD">
            <w:pPr>
              <w:pStyle w:val="Standard1"/>
              <w:snapToGrid w:val="0"/>
              <w:spacing w:line="276" w:lineRule="auto"/>
              <w:rPr>
                <w:rFonts w:ascii="Arial" w:hAnsi="Arial" w:cs="Arial"/>
                <w:sz w:val="22"/>
                <w:szCs w:val="22"/>
                <w:u w:val="single"/>
              </w:rPr>
            </w:pPr>
            <w:r w:rsidRPr="00587B69">
              <w:rPr>
                <w:rFonts w:ascii="Arial" w:hAnsi="Arial" w:cs="Arial"/>
                <w:sz w:val="22"/>
                <w:szCs w:val="22"/>
              </w:rPr>
              <w:t>congatec</w:t>
            </w:r>
          </w:p>
          <w:p w14:paraId="0BD040AE" w14:textId="77777777" w:rsidR="00467E79" w:rsidRPr="00587B69" w:rsidRDefault="00467E79" w:rsidP="00B066BD">
            <w:pPr>
              <w:pStyle w:val="Standard1"/>
              <w:snapToGrid w:val="0"/>
              <w:spacing w:line="276" w:lineRule="auto"/>
              <w:rPr>
                <w:rFonts w:ascii="Arial" w:hAnsi="Arial" w:cs="Arial"/>
                <w:b/>
                <w:sz w:val="22"/>
                <w:szCs w:val="22"/>
                <w:u w:val="single"/>
              </w:rPr>
            </w:pPr>
            <w:r w:rsidRPr="00587B69">
              <w:rPr>
                <w:rFonts w:ascii="Arial" w:hAnsi="Arial" w:cs="Arial"/>
                <w:sz w:val="22"/>
                <w:szCs w:val="22"/>
              </w:rPr>
              <w:lastRenderedPageBreak/>
              <w:t>Christian Eder</w:t>
            </w:r>
          </w:p>
          <w:p w14:paraId="4F4DFE99" w14:textId="77777777" w:rsidR="00467E79" w:rsidRPr="00587B69" w:rsidRDefault="00467E79" w:rsidP="00B066BD">
            <w:pPr>
              <w:pStyle w:val="Standard1"/>
              <w:snapToGrid w:val="0"/>
              <w:spacing w:line="276" w:lineRule="auto"/>
              <w:rPr>
                <w:rFonts w:ascii="Arial" w:hAnsi="Arial" w:cs="Arial"/>
                <w:b/>
                <w:sz w:val="22"/>
                <w:szCs w:val="22"/>
                <w:u w:val="single"/>
              </w:rPr>
            </w:pPr>
            <w:r w:rsidRPr="00587B69">
              <w:rPr>
                <w:rFonts w:ascii="Arial" w:hAnsi="Arial" w:cs="Arial"/>
                <w:sz w:val="22"/>
                <w:szCs w:val="22"/>
              </w:rPr>
              <w:t>Telefon: +49-991-2700-0</w:t>
            </w:r>
          </w:p>
          <w:p w14:paraId="7E2D0491" w14:textId="77777777" w:rsidR="00467E79" w:rsidRPr="00587B69" w:rsidRDefault="00723F94" w:rsidP="00B066BD">
            <w:pPr>
              <w:pStyle w:val="Standard1"/>
              <w:snapToGrid w:val="0"/>
              <w:spacing w:line="276" w:lineRule="auto"/>
              <w:rPr>
                <w:rFonts w:ascii="Arial" w:hAnsi="Arial" w:cs="Arial"/>
                <w:sz w:val="22"/>
                <w:szCs w:val="22"/>
              </w:rPr>
            </w:pPr>
            <w:hyperlink r:id="rId16" w:history="1">
              <w:r w:rsidR="00467E79" w:rsidRPr="00587B69">
                <w:rPr>
                  <w:rStyle w:val="Hyperlink"/>
                  <w:rFonts w:ascii="Arial" w:hAnsi="Arial" w:cs="Arial"/>
                  <w:sz w:val="22"/>
                  <w:szCs w:val="22"/>
                </w:rPr>
                <w:t>info@congatec.com</w:t>
              </w:r>
            </w:hyperlink>
            <w:r w:rsidR="00467E79" w:rsidRPr="00587B69">
              <w:rPr>
                <w:rFonts w:ascii="Arial" w:hAnsi="Arial" w:cs="Arial"/>
                <w:sz w:val="22"/>
                <w:szCs w:val="22"/>
              </w:rPr>
              <w:t xml:space="preserve"> </w:t>
            </w:r>
          </w:p>
          <w:p w14:paraId="20152D28" w14:textId="77777777" w:rsidR="00467E79" w:rsidRPr="00587B69" w:rsidRDefault="00723F94" w:rsidP="00B066BD">
            <w:pPr>
              <w:pStyle w:val="Standard1"/>
              <w:snapToGrid w:val="0"/>
              <w:spacing w:line="276" w:lineRule="auto"/>
              <w:rPr>
                <w:rFonts w:ascii="Arial" w:hAnsi="Arial" w:cs="Arial"/>
                <w:sz w:val="22"/>
                <w:szCs w:val="22"/>
              </w:rPr>
            </w:pPr>
            <w:hyperlink r:id="rId17" w:history="1">
              <w:r w:rsidR="00467E79" w:rsidRPr="00587B69">
                <w:rPr>
                  <w:rStyle w:val="Hyperlink"/>
                  <w:rFonts w:ascii="Arial" w:hAnsi="Arial" w:cs="Arial"/>
                  <w:sz w:val="22"/>
                  <w:szCs w:val="22"/>
                </w:rPr>
                <w:t>www.congatec.com</w:t>
              </w:r>
            </w:hyperlink>
          </w:p>
          <w:p w14:paraId="67722262" w14:textId="77777777" w:rsidR="00467E79" w:rsidRPr="00587B69" w:rsidRDefault="00467E79" w:rsidP="00B066BD">
            <w:pPr>
              <w:pStyle w:val="Standard1"/>
              <w:snapToGrid w:val="0"/>
              <w:spacing w:line="276" w:lineRule="auto"/>
              <w:ind w:right="-1058"/>
              <w:rPr>
                <w:rFonts w:ascii="Arial" w:hAnsi="Arial" w:cs="Arial"/>
                <w:b/>
                <w:sz w:val="22"/>
                <w:szCs w:val="22"/>
                <w:u w:val="single"/>
              </w:rPr>
            </w:pPr>
          </w:p>
        </w:tc>
        <w:tc>
          <w:tcPr>
            <w:tcW w:w="2977" w:type="dxa"/>
            <w:shd w:val="clear" w:color="auto" w:fill="auto"/>
          </w:tcPr>
          <w:p w14:paraId="209DF50D" w14:textId="77777777" w:rsidR="00C64155" w:rsidRPr="00587B69" w:rsidRDefault="00C64155" w:rsidP="00B066BD">
            <w:pPr>
              <w:pStyle w:val="Standard1"/>
              <w:snapToGrid w:val="0"/>
              <w:spacing w:line="276" w:lineRule="auto"/>
              <w:rPr>
                <w:rFonts w:ascii="Arial" w:hAnsi="Arial" w:cs="Arial"/>
                <w:b/>
                <w:sz w:val="22"/>
                <w:szCs w:val="22"/>
              </w:rPr>
            </w:pPr>
          </w:p>
          <w:p w14:paraId="66CEB954" w14:textId="77777777" w:rsidR="00467E79" w:rsidRPr="00587B69" w:rsidRDefault="00467E79" w:rsidP="00B066BD">
            <w:pPr>
              <w:pStyle w:val="Standard1"/>
              <w:snapToGrid w:val="0"/>
              <w:spacing w:line="276" w:lineRule="auto"/>
              <w:rPr>
                <w:rFonts w:ascii="Arial" w:hAnsi="Arial" w:cs="Arial"/>
                <w:b/>
                <w:sz w:val="22"/>
                <w:szCs w:val="22"/>
              </w:rPr>
            </w:pPr>
            <w:r w:rsidRPr="00587B69">
              <w:rPr>
                <w:rFonts w:ascii="Arial" w:hAnsi="Arial" w:cs="Arial"/>
                <w:b/>
                <w:sz w:val="22"/>
                <w:szCs w:val="22"/>
              </w:rPr>
              <w:t>Pressekontakt:</w:t>
            </w:r>
          </w:p>
          <w:p w14:paraId="23A8C1E8"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t>SAMS Network</w:t>
            </w:r>
          </w:p>
          <w:p w14:paraId="1C239476"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lastRenderedPageBreak/>
              <w:t>Michael Hennen</w:t>
            </w:r>
          </w:p>
          <w:p w14:paraId="1C0328AB" w14:textId="77777777" w:rsidR="00467E79" w:rsidRPr="00587B69" w:rsidRDefault="00467E79" w:rsidP="00B066BD">
            <w:pPr>
              <w:pStyle w:val="Standard1"/>
              <w:snapToGrid w:val="0"/>
              <w:spacing w:line="276" w:lineRule="auto"/>
              <w:rPr>
                <w:rFonts w:ascii="Arial" w:hAnsi="Arial" w:cs="Arial"/>
                <w:sz w:val="22"/>
                <w:szCs w:val="22"/>
              </w:rPr>
            </w:pPr>
            <w:r w:rsidRPr="00587B69">
              <w:rPr>
                <w:rFonts w:ascii="Arial" w:hAnsi="Arial" w:cs="Arial"/>
                <w:sz w:val="22"/>
                <w:szCs w:val="22"/>
              </w:rPr>
              <w:t>Telefon: +49-2405-4526720</w:t>
            </w:r>
          </w:p>
          <w:p w14:paraId="403BEBA2" w14:textId="26AF8A22" w:rsidR="00467E79" w:rsidRPr="00587B69" w:rsidRDefault="00723F94" w:rsidP="00B066BD">
            <w:pPr>
              <w:pStyle w:val="Standard1"/>
              <w:snapToGrid w:val="0"/>
              <w:spacing w:line="276" w:lineRule="auto"/>
              <w:rPr>
                <w:rFonts w:ascii="Arial" w:hAnsi="Arial" w:cs="Arial"/>
                <w:sz w:val="22"/>
                <w:szCs w:val="22"/>
              </w:rPr>
            </w:pPr>
            <w:hyperlink r:id="rId18" w:history="1">
              <w:r w:rsidR="00835D39" w:rsidRPr="00D11957">
                <w:rPr>
                  <w:rStyle w:val="Hyperlink"/>
                  <w:rFonts w:ascii="Arial" w:hAnsi="Arial" w:cs="Arial"/>
                  <w:sz w:val="22"/>
                  <w:szCs w:val="22"/>
                </w:rPr>
                <w:t>congatec@sams-network.com</w:t>
              </w:r>
            </w:hyperlink>
            <w:r w:rsidR="00467E79" w:rsidRPr="00587B69">
              <w:rPr>
                <w:rFonts w:ascii="Arial" w:hAnsi="Arial" w:cs="Arial"/>
                <w:sz w:val="22"/>
                <w:szCs w:val="22"/>
              </w:rPr>
              <w:t xml:space="preserve"> </w:t>
            </w:r>
          </w:p>
          <w:p w14:paraId="55CB7294" w14:textId="77777777" w:rsidR="00467E79" w:rsidRPr="00587B69" w:rsidRDefault="00723F94" w:rsidP="00B066BD">
            <w:pPr>
              <w:pStyle w:val="Standard1"/>
              <w:snapToGrid w:val="0"/>
              <w:spacing w:line="276" w:lineRule="auto"/>
              <w:rPr>
                <w:rFonts w:ascii="Arial" w:hAnsi="Arial" w:cs="Arial"/>
                <w:sz w:val="22"/>
                <w:szCs w:val="22"/>
              </w:rPr>
            </w:pPr>
            <w:hyperlink r:id="rId19" w:history="1">
              <w:r w:rsidR="00467E79" w:rsidRPr="00587B69">
                <w:rPr>
                  <w:rStyle w:val="Hyperlink"/>
                  <w:rFonts w:ascii="Arial" w:hAnsi="Arial" w:cs="Arial"/>
                  <w:sz w:val="22"/>
                  <w:szCs w:val="22"/>
                </w:rPr>
                <w:t>www.sams-network.com</w:t>
              </w:r>
            </w:hyperlink>
          </w:p>
          <w:p w14:paraId="78F7719A" w14:textId="77777777" w:rsidR="00467E79" w:rsidRPr="00587B69" w:rsidRDefault="00467E79" w:rsidP="00B066BD">
            <w:pPr>
              <w:pStyle w:val="Standard1"/>
              <w:snapToGrid w:val="0"/>
              <w:spacing w:line="276" w:lineRule="auto"/>
              <w:rPr>
                <w:rFonts w:ascii="Arial" w:hAnsi="Arial" w:cs="Arial"/>
                <w:b/>
                <w:sz w:val="22"/>
                <w:szCs w:val="22"/>
                <w:u w:val="single"/>
              </w:rPr>
            </w:pPr>
          </w:p>
        </w:tc>
      </w:tr>
    </w:tbl>
    <w:p w14:paraId="48A12EB9" w14:textId="77777777" w:rsidR="00467E79" w:rsidRPr="009C4B5D" w:rsidRDefault="00467E79" w:rsidP="00467E79">
      <w:pPr>
        <w:pStyle w:val="Standard1"/>
        <w:rPr>
          <w:rFonts w:ascii="Arial" w:hAnsi="Arial" w:cs="Arial"/>
          <w:sz w:val="16"/>
          <w:szCs w:val="16"/>
        </w:rPr>
      </w:pPr>
    </w:p>
    <w:p w14:paraId="6A8A4B5E" w14:textId="77777777" w:rsidR="00467E79" w:rsidRPr="009C4B5D" w:rsidRDefault="00467E79" w:rsidP="00467E79">
      <w:pPr>
        <w:pStyle w:val="Standard1"/>
        <w:rPr>
          <w:rFonts w:ascii="Arial" w:hAnsi="Arial" w:cs="Arial"/>
          <w:sz w:val="16"/>
          <w:szCs w:val="16"/>
        </w:rPr>
      </w:pPr>
    </w:p>
    <w:p w14:paraId="567A3F05" w14:textId="77777777" w:rsidR="00467E79" w:rsidRPr="009C4B5D" w:rsidRDefault="00467E79" w:rsidP="00467E79">
      <w:pPr>
        <w:pStyle w:val="Standard1"/>
        <w:rPr>
          <w:rFonts w:ascii="Arial" w:hAnsi="Arial" w:cs="Arial"/>
          <w:sz w:val="16"/>
          <w:szCs w:val="16"/>
        </w:rPr>
      </w:pPr>
      <w:r w:rsidRPr="009C4B5D">
        <w:rPr>
          <w:rFonts w:ascii="Arial" w:eastAsia="Times New Roman" w:hAnsi="Arial" w:cs="Arial"/>
          <w:sz w:val="16"/>
          <w:szCs w:val="16"/>
        </w:rPr>
        <w:t>Text und Foto verfügbar</w:t>
      </w:r>
      <w:r w:rsidRPr="009C4B5D">
        <w:rPr>
          <w:rFonts w:ascii="Arial" w:hAnsi="Arial" w:cs="Arial"/>
          <w:iCs/>
          <w:color w:val="000000"/>
          <w:sz w:val="16"/>
          <w:szCs w:val="16"/>
        </w:rPr>
        <w:t xml:space="preserve">: </w:t>
      </w:r>
      <w:hyperlink r:id="rId20" w:history="1">
        <w:r w:rsidRPr="009C4B5D">
          <w:rPr>
            <w:rStyle w:val="Hyperlink"/>
            <w:rFonts w:ascii="Arial" w:hAnsi="Arial" w:cs="Arial"/>
            <w:sz w:val="16"/>
            <w:szCs w:val="16"/>
          </w:rPr>
          <w:t>https://www.congatec.com/de/congatec/pressemitteilungen/</w:t>
        </w:r>
      </w:hyperlink>
    </w:p>
    <w:p w14:paraId="2AD095E8" w14:textId="77777777" w:rsidR="00F205D4" w:rsidRPr="009C4B5D" w:rsidRDefault="00F205D4" w:rsidP="00467E79">
      <w:pPr>
        <w:pStyle w:val="Standard1"/>
        <w:rPr>
          <w:rFonts w:ascii="Arial" w:hAnsi="Arial" w:cs="Arial"/>
          <w:sz w:val="16"/>
          <w:szCs w:val="16"/>
        </w:rPr>
      </w:pPr>
    </w:p>
    <w:p w14:paraId="5397D9EF" w14:textId="211EC1D5" w:rsidR="00F205D4" w:rsidRPr="009C4B5D" w:rsidRDefault="006743A5" w:rsidP="009525F0">
      <w:pPr>
        <w:rPr>
          <w:rFonts w:eastAsia="Arial" w:cs="Arial"/>
          <w:sz w:val="16"/>
          <w:szCs w:val="16"/>
        </w:rPr>
      </w:pPr>
      <w:r w:rsidRPr="009C4B5D">
        <w:rPr>
          <w:rFonts w:eastAsia="Arial" w:cs="Arial"/>
          <w:sz w:val="16"/>
          <w:szCs w:val="16"/>
        </w:rPr>
        <w:t xml:space="preserve">Intel, das Intel Logo und andere Intel Marken sind </w:t>
      </w:r>
      <w:r w:rsidRPr="009C4B5D">
        <w:rPr>
          <w:rFonts w:cs="Arial"/>
          <w:sz w:val="16"/>
          <w:szCs w:val="16"/>
        </w:rPr>
        <w:t xml:space="preserve">Handelsmarken der </w:t>
      </w:r>
      <w:r w:rsidRPr="009C4B5D">
        <w:rPr>
          <w:rFonts w:eastAsia="Arial" w:cs="Arial"/>
          <w:sz w:val="16"/>
          <w:szCs w:val="16"/>
        </w:rPr>
        <w:t>Intel Corporation oder ihrer Tochtergesellschaften</w:t>
      </w:r>
    </w:p>
    <w:sectPr w:rsidR="00F205D4" w:rsidRPr="009C4B5D" w:rsidSect="009C4B5D">
      <w:headerReference w:type="default" r:id="rId21"/>
      <w:footerReference w:type="default" r:id="rId2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F4AD6" w14:textId="77777777" w:rsidR="00723F94" w:rsidRDefault="00723F94" w:rsidP="00680509">
      <w:pPr>
        <w:spacing w:line="240" w:lineRule="auto"/>
      </w:pPr>
      <w:r>
        <w:separator/>
      </w:r>
    </w:p>
  </w:endnote>
  <w:endnote w:type="continuationSeparator" w:id="0">
    <w:p w14:paraId="3D72EC74" w14:textId="77777777" w:rsidR="00723F94" w:rsidRDefault="00723F94"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53F0F" w14:textId="77777777" w:rsidR="00723F94" w:rsidRDefault="00723F94" w:rsidP="00680509">
      <w:pPr>
        <w:spacing w:line="240" w:lineRule="auto"/>
      </w:pPr>
      <w:r>
        <w:separator/>
      </w:r>
    </w:p>
  </w:footnote>
  <w:footnote w:type="continuationSeparator" w:id="0">
    <w:p w14:paraId="5A4F27D3" w14:textId="77777777" w:rsidR="00723F94" w:rsidRDefault="00723F94"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172C7"/>
    <w:rsid w:val="0005565F"/>
    <w:rsid w:val="00061C51"/>
    <w:rsid w:val="000A1962"/>
    <w:rsid w:val="000B5153"/>
    <w:rsid w:val="000E170E"/>
    <w:rsid w:val="000F0821"/>
    <w:rsid w:val="00122AFF"/>
    <w:rsid w:val="0013043E"/>
    <w:rsid w:val="00137A50"/>
    <w:rsid w:val="0014353E"/>
    <w:rsid w:val="00152A43"/>
    <w:rsid w:val="00165526"/>
    <w:rsid w:val="001B38FD"/>
    <w:rsid w:val="001D4EAC"/>
    <w:rsid w:val="00216481"/>
    <w:rsid w:val="0025204D"/>
    <w:rsid w:val="00272C88"/>
    <w:rsid w:val="002A3BBD"/>
    <w:rsid w:val="002C3C88"/>
    <w:rsid w:val="00315B89"/>
    <w:rsid w:val="0032083E"/>
    <w:rsid w:val="0032374D"/>
    <w:rsid w:val="00323CC8"/>
    <w:rsid w:val="00364232"/>
    <w:rsid w:val="00367F0C"/>
    <w:rsid w:val="003817B7"/>
    <w:rsid w:val="0039015B"/>
    <w:rsid w:val="00395998"/>
    <w:rsid w:val="0044466B"/>
    <w:rsid w:val="00445A01"/>
    <w:rsid w:val="00467E79"/>
    <w:rsid w:val="004822CB"/>
    <w:rsid w:val="00496B6C"/>
    <w:rsid w:val="00496F60"/>
    <w:rsid w:val="004C1E32"/>
    <w:rsid w:val="004C6E74"/>
    <w:rsid w:val="004D0ED3"/>
    <w:rsid w:val="004D74E3"/>
    <w:rsid w:val="00516E8C"/>
    <w:rsid w:val="005322C6"/>
    <w:rsid w:val="0054475B"/>
    <w:rsid w:val="00567C4C"/>
    <w:rsid w:val="005749A2"/>
    <w:rsid w:val="00580984"/>
    <w:rsid w:val="00587B69"/>
    <w:rsid w:val="005A0C28"/>
    <w:rsid w:val="005A6108"/>
    <w:rsid w:val="005C2300"/>
    <w:rsid w:val="006005CC"/>
    <w:rsid w:val="00632FFC"/>
    <w:rsid w:val="00633BB0"/>
    <w:rsid w:val="0064222F"/>
    <w:rsid w:val="00643D45"/>
    <w:rsid w:val="006743A5"/>
    <w:rsid w:val="00680509"/>
    <w:rsid w:val="00687992"/>
    <w:rsid w:val="006A2399"/>
    <w:rsid w:val="006A3FC9"/>
    <w:rsid w:val="006B627C"/>
    <w:rsid w:val="006C43B5"/>
    <w:rsid w:val="006E297F"/>
    <w:rsid w:val="006E3A70"/>
    <w:rsid w:val="00723447"/>
    <w:rsid w:val="00723F94"/>
    <w:rsid w:val="007520BE"/>
    <w:rsid w:val="007715D0"/>
    <w:rsid w:val="007932DE"/>
    <w:rsid w:val="007A6886"/>
    <w:rsid w:val="00825615"/>
    <w:rsid w:val="00835D39"/>
    <w:rsid w:val="0086013B"/>
    <w:rsid w:val="00870292"/>
    <w:rsid w:val="00877ADA"/>
    <w:rsid w:val="0089603F"/>
    <w:rsid w:val="008A2EA5"/>
    <w:rsid w:val="009274B3"/>
    <w:rsid w:val="00941EA3"/>
    <w:rsid w:val="009466E1"/>
    <w:rsid w:val="009525F0"/>
    <w:rsid w:val="00962758"/>
    <w:rsid w:val="0098453A"/>
    <w:rsid w:val="0099350F"/>
    <w:rsid w:val="00994A16"/>
    <w:rsid w:val="009A333C"/>
    <w:rsid w:val="009A6FD3"/>
    <w:rsid w:val="009C4B5D"/>
    <w:rsid w:val="009D0A2B"/>
    <w:rsid w:val="00A34620"/>
    <w:rsid w:val="00A41F95"/>
    <w:rsid w:val="00AB52CD"/>
    <w:rsid w:val="00B475C8"/>
    <w:rsid w:val="00B54193"/>
    <w:rsid w:val="00B61CE5"/>
    <w:rsid w:val="00B66036"/>
    <w:rsid w:val="00B70822"/>
    <w:rsid w:val="00B76000"/>
    <w:rsid w:val="00B769E7"/>
    <w:rsid w:val="00BD7AF7"/>
    <w:rsid w:val="00BF1716"/>
    <w:rsid w:val="00C06AB3"/>
    <w:rsid w:val="00C11376"/>
    <w:rsid w:val="00C1206F"/>
    <w:rsid w:val="00C12F40"/>
    <w:rsid w:val="00C56015"/>
    <w:rsid w:val="00C61367"/>
    <w:rsid w:val="00C64155"/>
    <w:rsid w:val="00C745BB"/>
    <w:rsid w:val="00D27370"/>
    <w:rsid w:val="00DB67D4"/>
    <w:rsid w:val="00DC74F4"/>
    <w:rsid w:val="00DF56A3"/>
    <w:rsid w:val="00E3188D"/>
    <w:rsid w:val="00E33BE6"/>
    <w:rsid w:val="00E753C7"/>
    <w:rsid w:val="00E76612"/>
    <w:rsid w:val="00EA7FEE"/>
    <w:rsid w:val="00ED62ED"/>
    <w:rsid w:val="00EF4350"/>
    <w:rsid w:val="00F015CF"/>
    <w:rsid w:val="00F205D4"/>
    <w:rsid w:val="00F531A6"/>
    <w:rsid w:val="00F5585D"/>
    <w:rsid w:val="00F61DCC"/>
    <w:rsid w:val="00F9256D"/>
    <w:rsid w:val="00FB23FB"/>
    <w:rsid w:val="00FC3804"/>
    <w:rsid w:val="00FC4829"/>
    <w:rsid w:val="00FD2B2E"/>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2EA5"/>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character" w:styleId="BesuchterLink">
    <w:name w:val="FollowedHyperlink"/>
    <w:basedOn w:val="Absatz-Standardschriftart"/>
    <w:uiPriority w:val="99"/>
    <w:semiHidden/>
    <w:unhideWhenUsed/>
    <w:rsid w:val="00272C88"/>
    <w:rPr>
      <w:color w:val="800080" w:themeColor="followedHyperlink"/>
      <w:u w:val="single"/>
    </w:rPr>
  </w:style>
  <w:style w:type="paragraph" w:styleId="berarbeitung">
    <w:name w:val="Revision"/>
    <w:hidden/>
    <w:uiPriority w:val="99"/>
    <w:semiHidden/>
    <w:rsid w:val="00FC4829"/>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de/produkte/zubehoer/conga-hpc-uatx" TargetMode="External"/><Relationship Id="rId13"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8" Type="http://schemas.openxmlformats.org/officeDocument/2006/relationships/hyperlink" Target="mailto:congatec@sams-network.com"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7" Type="http://schemas.openxmlformats.org/officeDocument/2006/relationships/hyperlink" Target="http://www.congatec.com" TargetMode="External"/><Relationship Id="rId2" Type="http://schemas.openxmlformats.org/officeDocument/2006/relationships/settings" Target="settings.xml"/><Relationship Id="rId16" Type="http://schemas.openxmlformats.org/officeDocument/2006/relationships/hyperlink" Target="mailto:info@congatec.com" TargetMode="External"/><Relationship Id="rId20" Type="http://schemas.openxmlformats.org/officeDocument/2006/relationships/hyperlink" Target="https://www.congatec.com/de/congatec/pressemitteilungen/"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ales@congatec.co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23" Type="http://schemas.openxmlformats.org/officeDocument/2006/relationships/fontTable" Target="fontTable.xml"/><Relationship Id="rId10" Type="http://schemas.openxmlformats.org/officeDocument/2006/relationships/hyperlink" Target="https://www.congatec.com/de/produkte/com-hpc/conga-hpccalp/" TargetMode="External"/><Relationship Id="rId19" Type="http://schemas.openxmlformats.org/officeDocument/2006/relationships/hyperlink" Target="http://www.sams-network.com" TargetMode="External"/><Relationship Id="rId4" Type="http://schemas.openxmlformats.org/officeDocument/2006/relationships/footnotes" Target="footnotes.xml"/><Relationship Id="rId9" Type="http://schemas.openxmlformats.org/officeDocument/2006/relationships/hyperlink" Target="https://www.congatec.com/de/produkte/com-hpc/conga-hpccals/" TargetMode="External"/><Relationship Id="rId14"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22"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1766</Words>
  <Characters>11131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Alexander Nagl</cp:lastModifiedBy>
  <cp:revision>5</cp:revision>
  <dcterms:created xsi:type="dcterms:W3CDTF">2022-07-25T13:12:00Z</dcterms:created>
  <dcterms:modified xsi:type="dcterms:W3CDTF">2022-07-25T14:44:00Z</dcterms:modified>
</cp:coreProperties>
</file>