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627D1" w14:textId="27ACC049" w:rsidR="00E6340F" w:rsidRPr="00F63F83" w:rsidRDefault="0022610C">
      <w:pPr>
        <w:pStyle w:val="berschrift1"/>
        <w:rPr>
          <w:lang w:val="fr-FR"/>
        </w:rPr>
      </w:pPr>
      <w:r w:rsidRPr="00F63F83">
        <w:rPr>
          <w:lang w:val="fr-FR"/>
        </w:rPr>
        <w:t xml:space="preserve">Communiqué de presse </w:t>
      </w:r>
      <w:r w:rsidRPr="003F7B43">
        <w:rPr>
          <w:noProof/>
        </w:rPr>
        <w:drawing>
          <wp:anchor distT="0" distB="0" distL="114300" distR="114300" simplePos="0" relativeHeight="251658240" behindDoc="0" locked="0" layoutInCell="1" hidden="0" allowOverlap="1" wp14:anchorId="20ECA5C2" wp14:editId="319FBC93">
            <wp:simplePos x="0" y="0"/>
            <wp:positionH relativeFrom="column">
              <wp:posOffset>4349839</wp:posOffset>
            </wp:positionH>
            <wp:positionV relativeFrom="paragraph">
              <wp:posOffset>-345911</wp:posOffset>
            </wp:positionV>
            <wp:extent cx="1150531" cy="903767"/>
            <wp:effectExtent l="0" t="0" r="0" b="0"/>
            <wp:wrapNone/>
            <wp:docPr id="9895014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50531" cy="903767"/>
                    </a:xfrm>
                    <a:prstGeom prst="rect">
                      <a:avLst/>
                    </a:prstGeom>
                    <a:ln/>
                  </pic:spPr>
                </pic:pic>
              </a:graphicData>
            </a:graphic>
          </wp:anchor>
        </w:drawing>
      </w:r>
    </w:p>
    <w:p w14:paraId="55126AB2" w14:textId="77777777" w:rsidR="00E6340F" w:rsidRPr="00F63F83" w:rsidRDefault="00E6340F">
      <w:pPr>
        <w:pStyle w:val="berschrift1"/>
        <w:rPr>
          <w:lang w:val="fr-FR"/>
        </w:rPr>
      </w:pPr>
    </w:p>
    <w:p w14:paraId="3E940C7A" w14:textId="77777777" w:rsidR="00E6340F" w:rsidRPr="00F63F83" w:rsidRDefault="00E6340F">
      <w:pPr>
        <w:pStyle w:val="berschrift1"/>
        <w:rPr>
          <w:lang w:val="fr-FR"/>
        </w:rPr>
      </w:pPr>
    </w:p>
    <w:p w14:paraId="50AF67AE" w14:textId="77777777" w:rsidR="00E6340F" w:rsidRPr="00F63F83" w:rsidRDefault="00E6340F">
      <w:pPr>
        <w:tabs>
          <w:tab w:val="left" w:pos="709"/>
        </w:tabs>
        <w:rPr>
          <w:lang w:val="fr-FR"/>
        </w:rPr>
      </w:pPr>
    </w:p>
    <w:p w14:paraId="5AA0C111" w14:textId="35691CC2" w:rsidR="00857B98" w:rsidRPr="00F63F83" w:rsidRDefault="00857B98">
      <w:pPr>
        <w:pBdr>
          <w:top w:val="nil"/>
          <w:left w:val="nil"/>
          <w:bottom w:val="nil"/>
          <w:right w:val="nil"/>
          <w:between w:val="nil"/>
        </w:pBdr>
        <w:rPr>
          <w:lang w:val="fr-FR"/>
        </w:rPr>
      </w:pPr>
      <w:r w:rsidRPr="00F63F83">
        <w:rPr>
          <w:lang w:val="fr-FR"/>
        </w:rPr>
        <w:t>Les modules congatec COM Express reçoivent la certification ferroviaire IEC-60068</w:t>
      </w:r>
    </w:p>
    <w:p w14:paraId="72D5C8DD" w14:textId="77777777" w:rsidR="00E6340F" w:rsidRPr="00F63F83" w:rsidRDefault="00E6340F">
      <w:pPr>
        <w:rPr>
          <w:b/>
          <w:lang w:val="fr-FR"/>
        </w:rPr>
      </w:pPr>
    </w:p>
    <w:p w14:paraId="1EE514BB" w14:textId="6427E691" w:rsidR="00857B98" w:rsidRPr="00F63F83" w:rsidRDefault="00857B98">
      <w:pPr>
        <w:rPr>
          <w:b/>
          <w:sz w:val="32"/>
          <w:szCs w:val="32"/>
          <w:highlight w:val="yellow"/>
          <w:lang w:val="fr-FR"/>
        </w:rPr>
      </w:pPr>
      <w:r w:rsidRPr="00F63F83">
        <w:rPr>
          <w:b/>
          <w:sz w:val="32"/>
          <w:szCs w:val="32"/>
          <w:lang w:val="fr-FR"/>
        </w:rPr>
        <w:t>Résistance éprouvée aux chocs et aux vibrations pour environnements difficiles</w:t>
      </w:r>
    </w:p>
    <w:p w14:paraId="08834A6C" w14:textId="1F710D0E" w:rsidR="00E6340F" w:rsidRPr="00F63F83" w:rsidRDefault="00E6340F">
      <w:pPr>
        <w:rPr>
          <w:noProof/>
          <w:lang w:val="fr-FR"/>
        </w:rPr>
      </w:pPr>
    </w:p>
    <w:p w14:paraId="7CECE28C" w14:textId="2D27106D" w:rsidR="00680F09" w:rsidRPr="003F7B43" w:rsidRDefault="00680F09">
      <w:pPr>
        <w:rPr>
          <w:b/>
        </w:rPr>
      </w:pPr>
      <w:r w:rsidRPr="003F7B43">
        <w:rPr>
          <w:b/>
          <w:noProof/>
        </w:rPr>
        <w:drawing>
          <wp:inline distT="0" distB="0" distL="0" distR="0" wp14:anchorId="4EADFBEA" wp14:editId="1DE0B95E">
            <wp:extent cx="5579745" cy="3719830"/>
            <wp:effectExtent l="0" t="0" r="1905" b="0"/>
            <wp:docPr id="857089412" name="Grafik 1" descr="Ein Bild, das Fahrzeug, Screenshot, Transport, Schienen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89412" name="Grafik 1" descr="Ein Bild, das Fahrzeug, Screenshot, Transport, Schienenfahrzeu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10063602" w14:textId="6028F235" w:rsidR="00E6340F" w:rsidRPr="00F63F83" w:rsidRDefault="00F63F83">
      <w:pPr>
        <w:rPr>
          <w:lang w:val="fr-FR"/>
        </w:rPr>
      </w:pPr>
      <w:r w:rsidRPr="00F63F83">
        <w:rPr>
          <w:b/>
          <w:lang w:val="fr-FR"/>
        </w:rPr>
        <w:t xml:space="preserve">Deggendorf, </w:t>
      </w:r>
      <w:r w:rsidR="00857B98" w:rsidRPr="00F63F83">
        <w:rPr>
          <w:b/>
          <w:lang w:val="fr-FR"/>
        </w:rPr>
        <w:t>Allemagne</w:t>
      </w:r>
      <w:r w:rsidRPr="00F63F83">
        <w:rPr>
          <w:b/>
          <w:lang w:val="fr-FR"/>
        </w:rPr>
        <w:t xml:space="preserve">, </w:t>
      </w:r>
      <w:r w:rsidR="00680F09" w:rsidRPr="00F63F83">
        <w:rPr>
          <w:b/>
          <w:lang w:val="fr-FR"/>
        </w:rPr>
        <w:t>7.</w:t>
      </w:r>
      <w:r w:rsidR="00857B98" w:rsidRPr="00F63F83">
        <w:rPr>
          <w:b/>
          <w:lang w:val="fr-FR"/>
        </w:rPr>
        <w:t xml:space="preserve"> septembre</w:t>
      </w:r>
      <w:r w:rsidRPr="00F63F83">
        <w:rPr>
          <w:b/>
          <w:lang w:val="fr-FR"/>
        </w:rPr>
        <w:t xml:space="preserve"> 2023 * * * </w:t>
      </w:r>
      <w:r w:rsidR="00857B98" w:rsidRPr="00F63F83">
        <w:rPr>
          <w:lang w:val="fr-FR"/>
        </w:rPr>
        <w:t>congatec - l'un des principaux fournisseurs de technologies informatiques embarquées et edge, annonce que ses modules COM Express Type 6 Compact conga-TC570r, basés sur la gamme de processeurs Intel® Core™ 11</w:t>
      </w:r>
      <w:r w:rsidR="00857B98" w:rsidRPr="00F63F83">
        <w:rPr>
          <w:vertAlign w:val="superscript"/>
          <w:lang w:val="fr-FR"/>
        </w:rPr>
        <w:t>e</w:t>
      </w:r>
      <w:r w:rsidR="00857B98" w:rsidRPr="00F63F83">
        <w:rPr>
          <w:lang w:val="fr-FR"/>
        </w:rPr>
        <w:t xml:space="preserve"> génération (nom de code " Tiger Lake "), ont reçu la certification IEC-60068. Cette certification qualifie ces modules pour un fonctionnement dans des applications ferroviaires, confirmant qu'ils répondent aux exigences des conditions extrêmes telles que les températures prolongées, les changements rapides de température, les chocs et les vibrations. Les clients bénéficient d'une brique de base prête à l'emploi, d'une robustesse éprouvée pour diverses applications critiques.</w:t>
      </w:r>
    </w:p>
    <w:p w14:paraId="7083286D" w14:textId="77777777" w:rsidR="0022610C" w:rsidRPr="00F63F83" w:rsidRDefault="0022610C">
      <w:pPr>
        <w:rPr>
          <w:lang w:val="fr-FR"/>
        </w:rPr>
      </w:pPr>
    </w:p>
    <w:p w14:paraId="54468323" w14:textId="2AA75561" w:rsidR="00E6340F" w:rsidRPr="00F63F83" w:rsidRDefault="00857B98">
      <w:pPr>
        <w:rPr>
          <w:lang w:val="fr-FR"/>
        </w:rPr>
      </w:pPr>
      <w:r w:rsidRPr="00F63F83">
        <w:rPr>
          <w:lang w:val="fr-FR"/>
        </w:rPr>
        <w:lastRenderedPageBreak/>
        <w:t xml:space="preserve">Le module conga-TC570r, certifié IEC-60068, convient à plusieurs nouvelles applications ferroviaires, notamment les systèmes de contrôle et de gestion des trains (TCMS), la maintenance prédictive, les systèmes d'information des passagers, la vidéosurveillance et l'analytique, </w:t>
      </w:r>
      <w:r w:rsidR="00424955" w:rsidRPr="00F63F83">
        <w:rPr>
          <w:lang w:val="fr-FR"/>
        </w:rPr>
        <w:t>la billettique et la perception tarifaire</w:t>
      </w:r>
      <w:r w:rsidRPr="00F63F83">
        <w:rPr>
          <w:lang w:val="fr-FR"/>
        </w:rPr>
        <w:t xml:space="preserve">, ainsi que la gestion et l'optimisation des parcs de véhicules. En outre, ils conviennent parfaitement à toutes les applications autres que le ferroviaire et le transport qui sont exposées à des conditions extrêmes, notamment l'automatisation, les véhicules </w:t>
      </w:r>
      <w:r w:rsidR="00424955" w:rsidRPr="00F63F83">
        <w:rPr>
          <w:lang w:val="fr-FR"/>
        </w:rPr>
        <w:t>à guidage automatique</w:t>
      </w:r>
      <w:r w:rsidRPr="00F63F83">
        <w:rPr>
          <w:lang w:val="fr-FR"/>
        </w:rPr>
        <w:t xml:space="preserve"> (AGV) et les robots mobiles autonomes (AMR). Ces applications nécessitent des capacités informatiques embarquées avancées fournies par </w:t>
      </w:r>
      <w:r w:rsidR="00424955" w:rsidRPr="00F63F83">
        <w:rPr>
          <w:lang w:val="fr-FR"/>
        </w:rPr>
        <w:t>les</w:t>
      </w:r>
      <w:r w:rsidRPr="00F63F83">
        <w:rPr>
          <w:lang w:val="fr-FR"/>
        </w:rPr>
        <w:t xml:space="preserve"> processeurs Intel </w:t>
      </w:r>
      <w:proofErr w:type="spellStart"/>
      <w:r w:rsidRPr="00F63F83">
        <w:rPr>
          <w:lang w:val="fr-FR"/>
        </w:rPr>
        <w:t>Core</w:t>
      </w:r>
      <w:proofErr w:type="spellEnd"/>
      <w:r w:rsidR="00424955" w:rsidRPr="00F63F83">
        <w:rPr>
          <w:lang w:val="fr-FR"/>
        </w:rPr>
        <w:t xml:space="preserve"> 11</w:t>
      </w:r>
      <w:r w:rsidR="00424955" w:rsidRPr="00F63F83">
        <w:rPr>
          <w:vertAlign w:val="superscript"/>
          <w:lang w:val="fr-FR"/>
        </w:rPr>
        <w:t>e</w:t>
      </w:r>
      <w:r w:rsidR="00424955" w:rsidRPr="00F63F83">
        <w:rPr>
          <w:lang w:val="fr-FR"/>
        </w:rPr>
        <w:t xml:space="preserve"> </w:t>
      </w:r>
      <w:proofErr w:type="spellStart"/>
      <w:r w:rsidR="00424955" w:rsidRPr="00F63F83">
        <w:rPr>
          <w:lang w:val="fr-FR"/>
        </w:rPr>
        <w:t>Gen</w:t>
      </w:r>
      <w:proofErr w:type="spellEnd"/>
      <w:r w:rsidRPr="00F63F83">
        <w:rPr>
          <w:lang w:val="fr-FR"/>
        </w:rPr>
        <w:t xml:space="preserve">, que le module </w:t>
      </w:r>
      <w:r w:rsidR="00424955" w:rsidRPr="00F63F83">
        <w:rPr>
          <w:lang w:val="fr-FR"/>
        </w:rPr>
        <w:t>propose</w:t>
      </w:r>
      <w:r w:rsidRPr="00F63F83">
        <w:rPr>
          <w:lang w:val="fr-FR"/>
        </w:rPr>
        <w:t xml:space="preserve"> dans un design conforme à l'industrie et certifié pour répondre à toutes les spécifications IEC-60068 requises.</w:t>
      </w:r>
    </w:p>
    <w:p w14:paraId="519522FF" w14:textId="77777777" w:rsidR="0022610C" w:rsidRPr="00F63F83" w:rsidRDefault="0022610C" w:rsidP="00424955">
      <w:pPr>
        <w:rPr>
          <w:b/>
          <w:lang w:val="fr-FR"/>
        </w:rPr>
      </w:pPr>
    </w:p>
    <w:p w14:paraId="0EF2364E" w14:textId="72B2D4A8" w:rsidR="00424955" w:rsidRPr="00F63F83" w:rsidRDefault="00424955" w:rsidP="00424955">
      <w:pPr>
        <w:rPr>
          <w:b/>
          <w:bCs/>
          <w:lang w:val="fr-FR"/>
        </w:rPr>
      </w:pPr>
      <w:r w:rsidRPr="00F63F83">
        <w:rPr>
          <w:b/>
          <w:bCs/>
          <w:lang w:val="fr-FR"/>
        </w:rPr>
        <w:t>Les certifications en détail</w:t>
      </w:r>
    </w:p>
    <w:p w14:paraId="559AD1D1" w14:textId="6FBD6260" w:rsidR="00E6340F" w:rsidRPr="00F63F83" w:rsidRDefault="00424955" w:rsidP="00424955">
      <w:pPr>
        <w:rPr>
          <w:lang w:val="fr-FR"/>
        </w:rPr>
      </w:pPr>
      <w:r w:rsidRPr="00F63F83">
        <w:rPr>
          <w:lang w:val="fr-FR"/>
        </w:rPr>
        <w:t xml:space="preserve">Le module conga-TC570r a subi des tests rigoureux et a été certifié selon les différentes normes IEC-60068. Il est certifié pour un fonctionnement fiable à des températures étendues allant de -40 °C à +85 °C, y compris </w:t>
      </w:r>
      <w:r w:rsidR="00A12D1F" w:rsidRPr="00F63F83">
        <w:rPr>
          <w:lang w:val="fr-FR"/>
        </w:rPr>
        <w:t>d</w:t>
      </w:r>
      <w:r w:rsidRPr="00F63F83">
        <w:rPr>
          <w:lang w:val="fr-FR"/>
        </w:rPr>
        <w:t xml:space="preserve">es changements de température (IEC-60068-2-14 Nb) et </w:t>
      </w:r>
      <w:r w:rsidR="00A12D1F" w:rsidRPr="00F63F83">
        <w:rPr>
          <w:lang w:val="fr-FR"/>
        </w:rPr>
        <w:t>des variations</w:t>
      </w:r>
      <w:r w:rsidRPr="00F63F83">
        <w:rPr>
          <w:lang w:val="fr-FR"/>
        </w:rPr>
        <w:t xml:space="preserve"> rapides de température (IEC-60068-2-14 Na). Il </w:t>
      </w:r>
      <w:r w:rsidR="00A12D1F" w:rsidRPr="00F63F83">
        <w:rPr>
          <w:lang w:val="fr-FR"/>
        </w:rPr>
        <w:t>présente</w:t>
      </w:r>
      <w:r w:rsidRPr="00F63F83">
        <w:rPr>
          <w:lang w:val="fr-FR"/>
        </w:rPr>
        <w:t xml:space="preserve"> également une résistance aux chocs et aux vibrations conformément à la norme DIN EN 61373 April 2011 catégorie 2 (applications ferroviaires). Le module est en outre protégé contre les conditions environnementales sévères, telles que l'humidité élevée, conformément à la norme IEC-60721-3-7 classe 7K3, 7M2. Les caractéristiques optionnelles comprennent des revêtements conformes pour améliorer encore la résistance aux liquides et à l'humidité.</w:t>
      </w:r>
    </w:p>
    <w:p w14:paraId="1B824666" w14:textId="77777777" w:rsidR="0022610C" w:rsidRPr="00F63F83" w:rsidRDefault="0022610C">
      <w:pPr>
        <w:rPr>
          <w:lang w:val="fr-FR"/>
        </w:rPr>
      </w:pPr>
    </w:p>
    <w:p w14:paraId="7B2520DA" w14:textId="1FFF2D87" w:rsidR="00E6340F" w:rsidRPr="00F63F83" w:rsidRDefault="00A12D1F">
      <w:pPr>
        <w:rPr>
          <w:lang w:val="fr-FR"/>
        </w:rPr>
      </w:pPr>
      <w:r w:rsidRPr="00F63F83">
        <w:rPr>
          <w:lang w:val="fr-FR"/>
        </w:rPr>
        <w:t xml:space="preserve">Les modules COM Express Compact Type 6 Intel </w:t>
      </w:r>
      <w:proofErr w:type="spellStart"/>
      <w:r w:rsidRPr="00F63F83">
        <w:rPr>
          <w:lang w:val="fr-FR"/>
        </w:rPr>
        <w:t>Core</w:t>
      </w:r>
      <w:proofErr w:type="spellEnd"/>
      <w:r w:rsidR="0022610C" w:rsidRPr="00F63F83">
        <w:rPr>
          <w:lang w:val="fr-FR"/>
        </w:rPr>
        <w:t xml:space="preserve"> 11</w:t>
      </w:r>
      <w:r w:rsidR="0022610C" w:rsidRPr="00F63F83">
        <w:rPr>
          <w:vertAlign w:val="superscript"/>
          <w:lang w:val="fr-FR"/>
        </w:rPr>
        <w:t>e</w:t>
      </w:r>
      <w:r w:rsidR="0022610C" w:rsidRPr="00F63F83">
        <w:rPr>
          <w:lang w:val="fr-FR"/>
        </w:rPr>
        <w:t xml:space="preserve"> </w:t>
      </w:r>
      <w:proofErr w:type="spellStart"/>
      <w:r w:rsidR="0022610C" w:rsidRPr="00F63F83">
        <w:rPr>
          <w:lang w:val="fr-FR"/>
        </w:rPr>
        <w:t>Gen</w:t>
      </w:r>
      <w:proofErr w:type="spellEnd"/>
      <w:r w:rsidR="0022610C" w:rsidRPr="00F63F83">
        <w:rPr>
          <w:lang w:val="fr-FR"/>
        </w:rPr>
        <w:t xml:space="preserve"> ultra-robustes</w:t>
      </w:r>
      <w:r w:rsidRPr="00F63F83">
        <w:rPr>
          <w:lang w:val="fr-FR"/>
        </w:rPr>
        <w:t xml:space="preserve"> avec RAM soudée et In-Band ECC (IBECC) sont disponibles dans les configurations standard suivantes, avec des options de personnalisation disponibles sur demande :</w:t>
      </w:r>
    </w:p>
    <w:p w14:paraId="5A6A57FC" w14:textId="77777777" w:rsidR="00E6340F" w:rsidRPr="00F63F83" w:rsidRDefault="00E6340F">
      <w:pPr>
        <w:rPr>
          <w:sz w:val="16"/>
          <w:szCs w:val="16"/>
          <w:lang w:val="fr-FR"/>
        </w:rPr>
      </w:pPr>
    </w:p>
    <w:tbl>
      <w:tblPr>
        <w:tblStyle w:val="a0"/>
        <w:tblW w:w="8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1"/>
        <w:gridCol w:w="2312"/>
        <w:gridCol w:w="283"/>
        <w:gridCol w:w="960"/>
        <w:gridCol w:w="250"/>
        <w:gridCol w:w="1995"/>
        <w:gridCol w:w="250"/>
        <w:gridCol w:w="791"/>
        <w:gridCol w:w="1373"/>
        <w:gridCol w:w="250"/>
      </w:tblGrid>
      <w:tr w:rsidR="0022610C" w:rsidRPr="003F7B43" w14:paraId="7940A166" w14:textId="77777777" w:rsidTr="00F63F83">
        <w:trPr>
          <w:trHeight w:val="680"/>
        </w:trPr>
        <w:tc>
          <w:tcPr>
            <w:tcW w:w="251" w:type="dxa"/>
            <w:shd w:val="clear" w:color="auto" w:fill="auto"/>
            <w:vAlign w:val="center"/>
          </w:tcPr>
          <w:p w14:paraId="3CBE4413" w14:textId="77777777" w:rsidR="00E6340F" w:rsidRPr="00F63F83" w:rsidRDefault="00E6340F">
            <w:pPr>
              <w:spacing w:line="240" w:lineRule="auto"/>
              <w:jc w:val="center"/>
              <w:rPr>
                <w:b/>
                <w:sz w:val="18"/>
                <w:szCs w:val="18"/>
                <w:lang w:val="fr-FR"/>
              </w:rPr>
            </w:pPr>
          </w:p>
        </w:tc>
        <w:tc>
          <w:tcPr>
            <w:tcW w:w="2312" w:type="dxa"/>
            <w:tcBorders>
              <w:top w:val="nil"/>
              <w:left w:val="nil"/>
              <w:bottom w:val="single" w:sz="4" w:space="0" w:color="000000"/>
              <w:right w:val="nil"/>
            </w:tcBorders>
            <w:shd w:val="clear" w:color="auto" w:fill="auto"/>
          </w:tcPr>
          <w:p w14:paraId="6A466B76" w14:textId="3E7759F0" w:rsidR="00E6340F" w:rsidRPr="003F7B43" w:rsidRDefault="00F63F83">
            <w:pPr>
              <w:spacing w:line="240" w:lineRule="auto"/>
              <w:jc w:val="center"/>
              <w:rPr>
                <w:b/>
                <w:sz w:val="18"/>
                <w:szCs w:val="18"/>
              </w:rPr>
            </w:pPr>
            <w:proofErr w:type="spellStart"/>
            <w:r w:rsidRPr="003F7B43">
              <w:rPr>
                <w:b/>
                <w:sz w:val="18"/>
                <w:szCs w:val="18"/>
              </w:rPr>
              <w:t>Proces</w:t>
            </w:r>
            <w:r w:rsidR="00A12D1F" w:rsidRPr="003F7B43">
              <w:rPr>
                <w:b/>
                <w:sz w:val="18"/>
                <w:szCs w:val="18"/>
              </w:rPr>
              <w:t>seur</w:t>
            </w:r>
            <w:proofErr w:type="spellEnd"/>
          </w:p>
        </w:tc>
        <w:tc>
          <w:tcPr>
            <w:tcW w:w="283" w:type="dxa"/>
            <w:shd w:val="clear" w:color="auto" w:fill="auto"/>
          </w:tcPr>
          <w:p w14:paraId="2A95708D" w14:textId="77777777" w:rsidR="00E6340F" w:rsidRPr="003F7B43" w:rsidRDefault="00E6340F">
            <w:pPr>
              <w:spacing w:line="240" w:lineRule="auto"/>
              <w:jc w:val="center"/>
              <w:rPr>
                <w:b/>
                <w:sz w:val="18"/>
                <w:szCs w:val="18"/>
              </w:rPr>
            </w:pPr>
          </w:p>
        </w:tc>
        <w:tc>
          <w:tcPr>
            <w:tcW w:w="960" w:type="dxa"/>
            <w:tcBorders>
              <w:top w:val="nil"/>
              <w:left w:val="nil"/>
              <w:bottom w:val="single" w:sz="4" w:space="0" w:color="000000"/>
              <w:right w:val="nil"/>
            </w:tcBorders>
            <w:shd w:val="clear" w:color="auto" w:fill="auto"/>
          </w:tcPr>
          <w:p w14:paraId="420B8D2A" w14:textId="0514179C" w:rsidR="00E6340F" w:rsidRPr="003F7B43" w:rsidRDefault="00F63F83">
            <w:pPr>
              <w:spacing w:line="240" w:lineRule="auto"/>
              <w:jc w:val="center"/>
              <w:rPr>
                <w:b/>
                <w:sz w:val="18"/>
                <w:szCs w:val="18"/>
              </w:rPr>
            </w:pPr>
            <w:proofErr w:type="spellStart"/>
            <w:r w:rsidRPr="003F7B43">
              <w:rPr>
                <w:b/>
                <w:sz w:val="18"/>
                <w:szCs w:val="18"/>
              </w:rPr>
              <w:t>Co</w:t>
            </w:r>
            <w:r w:rsidR="00A12D1F" w:rsidRPr="003F7B43">
              <w:rPr>
                <w:b/>
                <w:sz w:val="18"/>
                <w:szCs w:val="18"/>
              </w:rPr>
              <w:t>eurs</w:t>
            </w:r>
            <w:proofErr w:type="spellEnd"/>
            <w:r w:rsidRPr="003F7B43">
              <w:rPr>
                <w:b/>
                <w:sz w:val="18"/>
                <w:szCs w:val="18"/>
              </w:rPr>
              <w:t>/</w:t>
            </w:r>
            <w:r w:rsidRPr="003F7B43">
              <w:rPr>
                <w:b/>
                <w:sz w:val="18"/>
                <w:szCs w:val="18"/>
              </w:rPr>
              <w:br/>
              <w:t>Threads</w:t>
            </w:r>
          </w:p>
        </w:tc>
        <w:tc>
          <w:tcPr>
            <w:tcW w:w="250" w:type="dxa"/>
            <w:shd w:val="clear" w:color="auto" w:fill="auto"/>
          </w:tcPr>
          <w:p w14:paraId="50336A16" w14:textId="77777777" w:rsidR="00E6340F" w:rsidRPr="003F7B43" w:rsidRDefault="00E6340F">
            <w:pPr>
              <w:spacing w:line="240" w:lineRule="auto"/>
              <w:jc w:val="center"/>
              <w:rPr>
                <w:b/>
                <w:sz w:val="18"/>
                <w:szCs w:val="18"/>
              </w:rPr>
            </w:pPr>
          </w:p>
        </w:tc>
        <w:tc>
          <w:tcPr>
            <w:tcW w:w="1995" w:type="dxa"/>
            <w:tcBorders>
              <w:top w:val="nil"/>
              <w:left w:val="nil"/>
              <w:bottom w:val="single" w:sz="4" w:space="0" w:color="000000"/>
              <w:right w:val="nil"/>
            </w:tcBorders>
            <w:shd w:val="clear" w:color="auto" w:fill="auto"/>
          </w:tcPr>
          <w:p w14:paraId="5F79A20F" w14:textId="41264E8F" w:rsidR="00E6340F" w:rsidRPr="00F63F83" w:rsidRDefault="00A12D1F">
            <w:pPr>
              <w:spacing w:line="240" w:lineRule="auto"/>
              <w:jc w:val="center"/>
              <w:rPr>
                <w:b/>
                <w:sz w:val="18"/>
                <w:szCs w:val="18"/>
                <w:lang w:val="fr-FR"/>
              </w:rPr>
            </w:pPr>
            <w:r w:rsidRPr="00F63F83">
              <w:rPr>
                <w:b/>
                <w:sz w:val="18"/>
                <w:szCs w:val="18"/>
                <w:lang w:val="fr-FR"/>
              </w:rPr>
              <w:t xml:space="preserve">TDP fréquence à 28/15/12W, </w:t>
            </w:r>
            <w:r w:rsidRPr="00F63F83">
              <w:rPr>
                <w:b/>
                <w:sz w:val="18"/>
                <w:szCs w:val="18"/>
                <w:lang w:val="fr-FR"/>
              </w:rPr>
              <w:br/>
              <w:t>(Max Turbo) [GHz]</w:t>
            </w:r>
          </w:p>
        </w:tc>
        <w:tc>
          <w:tcPr>
            <w:tcW w:w="250" w:type="dxa"/>
            <w:shd w:val="clear" w:color="auto" w:fill="auto"/>
          </w:tcPr>
          <w:p w14:paraId="584B1202" w14:textId="77777777" w:rsidR="00E6340F" w:rsidRPr="00F63F83" w:rsidRDefault="00E6340F">
            <w:pPr>
              <w:spacing w:line="240" w:lineRule="auto"/>
              <w:jc w:val="center"/>
              <w:rPr>
                <w:b/>
                <w:sz w:val="18"/>
                <w:szCs w:val="18"/>
                <w:lang w:val="fr-FR"/>
              </w:rPr>
            </w:pPr>
          </w:p>
        </w:tc>
        <w:tc>
          <w:tcPr>
            <w:tcW w:w="791" w:type="dxa"/>
            <w:tcBorders>
              <w:top w:val="nil"/>
              <w:left w:val="nil"/>
              <w:bottom w:val="single" w:sz="4" w:space="0" w:color="000000"/>
              <w:right w:val="nil"/>
            </w:tcBorders>
            <w:shd w:val="clear" w:color="auto" w:fill="auto"/>
          </w:tcPr>
          <w:p w14:paraId="52FEBA88" w14:textId="77777777" w:rsidR="00E6340F" w:rsidRPr="003F7B43" w:rsidRDefault="00F63F83">
            <w:pPr>
              <w:spacing w:line="240" w:lineRule="auto"/>
              <w:jc w:val="center"/>
              <w:rPr>
                <w:b/>
                <w:sz w:val="18"/>
                <w:szCs w:val="18"/>
              </w:rPr>
            </w:pPr>
            <w:r w:rsidRPr="003F7B43">
              <w:rPr>
                <w:b/>
                <w:sz w:val="18"/>
                <w:szCs w:val="18"/>
              </w:rPr>
              <w:t>Cache [MB]</w:t>
            </w:r>
          </w:p>
        </w:tc>
        <w:tc>
          <w:tcPr>
            <w:tcW w:w="1373" w:type="dxa"/>
            <w:tcBorders>
              <w:top w:val="nil"/>
              <w:left w:val="nil"/>
              <w:bottom w:val="single" w:sz="4" w:space="0" w:color="000000"/>
              <w:right w:val="nil"/>
            </w:tcBorders>
            <w:shd w:val="clear" w:color="auto" w:fill="auto"/>
          </w:tcPr>
          <w:p w14:paraId="1146CB27" w14:textId="045C4792" w:rsidR="00E6340F" w:rsidRPr="003F7B43" w:rsidRDefault="00F63F83">
            <w:pPr>
              <w:spacing w:line="240" w:lineRule="auto"/>
              <w:jc w:val="center"/>
              <w:rPr>
                <w:b/>
                <w:sz w:val="18"/>
                <w:szCs w:val="18"/>
              </w:rPr>
            </w:pPr>
            <w:proofErr w:type="spellStart"/>
            <w:r w:rsidRPr="003F7B43">
              <w:rPr>
                <w:b/>
                <w:sz w:val="18"/>
                <w:szCs w:val="18"/>
              </w:rPr>
              <w:t>Graphi</w:t>
            </w:r>
            <w:r w:rsidR="00A12D1F" w:rsidRPr="003F7B43">
              <w:rPr>
                <w:b/>
                <w:sz w:val="18"/>
                <w:szCs w:val="18"/>
              </w:rPr>
              <w:t>que</w:t>
            </w:r>
            <w:proofErr w:type="spellEnd"/>
            <w:r w:rsidRPr="003F7B43">
              <w:rPr>
                <w:b/>
                <w:sz w:val="18"/>
                <w:szCs w:val="18"/>
              </w:rPr>
              <w:t xml:space="preserve"> [</w:t>
            </w:r>
            <w:proofErr w:type="spellStart"/>
            <w:r w:rsidR="00A12D1F" w:rsidRPr="003F7B43">
              <w:rPr>
                <w:b/>
                <w:sz w:val="18"/>
                <w:szCs w:val="18"/>
              </w:rPr>
              <w:t>Unités</w:t>
            </w:r>
            <w:proofErr w:type="spellEnd"/>
            <w:r w:rsidR="00A12D1F" w:rsidRPr="003F7B43">
              <w:rPr>
                <w:b/>
                <w:sz w:val="18"/>
                <w:szCs w:val="18"/>
              </w:rPr>
              <w:t xml:space="preserve"> </w:t>
            </w:r>
            <w:proofErr w:type="spellStart"/>
            <w:r w:rsidR="00A12D1F" w:rsidRPr="003F7B43">
              <w:rPr>
                <w:b/>
                <w:sz w:val="18"/>
                <w:szCs w:val="18"/>
              </w:rPr>
              <w:t>d’</w:t>
            </w:r>
            <w:r w:rsidRPr="003F7B43">
              <w:rPr>
                <w:b/>
                <w:sz w:val="18"/>
                <w:szCs w:val="18"/>
              </w:rPr>
              <w:t>Ex</w:t>
            </w:r>
            <w:r w:rsidR="00A12D1F" w:rsidRPr="003F7B43">
              <w:rPr>
                <w:b/>
                <w:sz w:val="18"/>
                <w:szCs w:val="18"/>
              </w:rPr>
              <w:t>é</w:t>
            </w:r>
            <w:r w:rsidRPr="003F7B43">
              <w:rPr>
                <w:b/>
                <w:sz w:val="18"/>
                <w:szCs w:val="18"/>
              </w:rPr>
              <w:t>cution</w:t>
            </w:r>
            <w:proofErr w:type="spellEnd"/>
            <w:r w:rsidRPr="003F7B43">
              <w:rPr>
                <w:b/>
                <w:sz w:val="18"/>
                <w:szCs w:val="18"/>
              </w:rPr>
              <w:t>]</w:t>
            </w:r>
          </w:p>
        </w:tc>
        <w:tc>
          <w:tcPr>
            <w:tcW w:w="250" w:type="dxa"/>
            <w:shd w:val="clear" w:color="auto" w:fill="auto"/>
          </w:tcPr>
          <w:p w14:paraId="63EC3F2E" w14:textId="77777777" w:rsidR="00E6340F" w:rsidRPr="003F7B43" w:rsidRDefault="00E6340F">
            <w:pPr>
              <w:spacing w:line="240" w:lineRule="auto"/>
              <w:jc w:val="center"/>
              <w:rPr>
                <w:b/>
                <w:sz w:val="18"/>
                <w:szCs w:val="18"/>
              </w:rPr>
            </w:pPr>
          </w:p>
        </w:tc>
      </w:tr>
      <w:tr w:rsidR="0022610C" w:rsidRPr="003F7B43" w14:paraId="67A74508" w14:textId="77777777" w:rsidTr="00F63F83">
        <w:trPr>
          <w:trHeight w:val="340"/>
        </w:trPr>
        <w:tc>
          <w:tcPr>
            <w:tcW w:w="251" w:type="dxa"/>
            <w:shd w:val="clear" w:color="auto" w:fill="auto"/>
            <w:vAlign w:val="center"/>
          </w:tcPr>
          <w:p w14:paraId="3F7CB027" w14:textId="77777777" w:rsidR="00E6340F" w:rsidRPr="003F7B43" w:rsidRDefault="00E6340F">
            <w:pPr>
              <w:spacing w:line="276" w:lineRule="auto"/>
              <w:rPr>
                <w:sz w:val="18"/>
                <w:szCs w:val="18"/>
              </w:rPr>
            </w:pPr>
          </w:p>
        </w:tc>
        <w:tc>
          <w:tcPr>
            <w:tcW w:w="2312" w:type="dxa"/>
            <w:tcBorders>
              <w:top w:val="single" w:sz="4" w:space="0" w:color="000000"/>
              <w:left w:val="nil"/>
              <w:bottom w:val="single" w:sz="4" w:space="0" w:color="000000"/>
              <w:right w:val="nil"/>
            </w:tcBorders>
            <w:shd w:val="clear" w:color="auto" w:fill="auto"/>
            <w:vAlign w:val="center"/>
          </w:tcPr>
          <w:p w14:paraId="2D7EA9CD" w14:textId="77777777" w:rsidR="00E6340F" w:rsidRPr="003F7B43" w:rsidRDefault="00F63F83">
            <w:pPr>
              <w:spacing w:line="276" w:lineRule="auto"/>
              <w:rPr>
                <w:sz w:val="18"/>
                <w:szCs w:val="18"/>
              </w:rPr>
            </w:pPr>
            <w:r w:rsidRPr="003F7B43">
              <w:rPr>
                <w:sz w:val="18"/>
                <w:szCs w:val="18"/>
              </w:rPr>
              <w:t>Intel</w:t>
            </w:r>
            <w:r w:rsidRPr="003F7B43">
              <w:rPr>
                <w:sz w:val="18"/>
                <w:szCs w:val="18"/>
                <w:vertAlign w:val="superscript"/>
              </w:rPr>
              <w:t>®</w:t>
            </w:r>
            <w:r w:rsidRPr="003F7B43">
              <w:rPr>
                <w:sz w:val="18"/>
                <w:szCs w:val="18"/>
              </w:rPr>
              <w:t xml:space="preserve"> Core™ i7-1185GRE</w:t>
            </w:r>
          </w:p>
        </w:tc>
        <w:tc>
          <w:tcPr>
            <w:tcW w:w="283" w:type="dxa"/>
            <w:shd w:val="clear" w:color="auto" w:fill="auto"/>
            <w:vAlign w:val="center"/>
          </w:tcPr>
          <w:p w14:paraId="6F44EAF2" w14:textId="77777777" w:rsidR="00E6340F" w:rsidRPr="003F7B43" w:rsidRDefault="00E6340F">
            <w:pPr>
              <w:spacing w:line="276" w:lineRule="auto"/>
              <w:rPr>
                <w:sz w:val="18"/>
                <w:szCs w:val="18"/>
              </w:rPr>
            </w:pPr>
          </w:p>
        </w:tc>
        <w:tc>
          <w:tcPr>
            <w:tcW w:w="960" w:type="dxa"/>
            <w:tcBorders>
              <w:top w:val="single" w:sz="4" w:space="0" w:color="000000"/>
              <w:left w:val="nil"/>
              <w:bottom w:val="single" w:sz="4" w:space="0" w:color="000000"/>
              <w:right w:val="nil"/>
            </w:tcBorders>
            <w:shd w:val="clear" w:color="auto" w:fill="auto"/>
            <w:vAlign w:val="center"/>
          </w:tcPr>
          <w:p w14:paraId="41F63F13" w14:textId="77777777" w:rsidR="00E6340F" w:rsidRPr="003F7B43" w:rsidRDefault="00F63F83">
            <w:pPr>
              <w:spacing w:line="276" w:lineRule="auto"/>
              <w:jc w:val="center"/>
              <w:rPr>
                <w:sz w:val="18"/>
                <w:szCs w:val="18"/>
              </w:rPr>
            </w:pPr>
            <w:r w:rsidRPr="003F7B43">
              <w:rPr>
                <w:sz w:val="18"/>
                <w:szCs w:val="18"/>
              </w:rPr>
              <w:t>4/8</w:t>
            </w:r>
          </w:p>
        </w:tc>
        <w:tc>
          <w:tcPr>
            <w:tcW w:w="250" w:type="dxa"/>
            <w:shd w:val="clear" w:color="auto" w:fill="auto"/>
            <w:vAlign w:val="center"/>
          </w:tcPr>
          <w:p w14:paraId="1EDE8ACE" w14:textId="77777777" w:rsidR="00E6340F" w:rsidRPr="003F7B43" w:rsidRDefault="00E6340F">
            <w:pPr>
              <w:spacing w:line="276" w:lineRule="auto"/>
              <w:jc w:val="center"/>
              <w:rPr>
                <w:sz w:val="18"/>
                <w:szCs w:val="18"/>
              </w:rPr>
            </w:pPr>
          </w:p>
        </w:tc>
        <w:tc>
          <w:tcPr>
            <w:tcW w:w="1995" w:type="dxa"/>
            <w:tcBorders>
              <w:top w:val="single" w:sz="4" w:space="0" w:color="000000"/>
              <w:left w:val="nil"/>
              <w:bottom w:val="single" w:sz="4" w:space="0" w:color="000000"/>
              <w:right w:val="nil"/>
            </w:tcBorders>
            <w:shd w:val="clear" w:color="auto" w:fill="auto"/>
            <w:vAlign w:val="center"/>
          </w:tcPr>
          <w:p w14:paraId="5A7FBE93" w14:textId="77777777" w:rsidR="00E6340F" w:rsidRPr="003F7B43" w:rsidRDefault="00F63F83">
            <w:pPr>
              <w:spacing w:line="276" w:lineRule="auto"/>
              <w:jc w:val="center"/>
              <w:rPr>
                <w:sz w:val="18"/>
                <w:szCs w:val="18"/>
              </w:rPr>
            </w:pPr>
            <w:r w:rsidRPr="003F7B43">
              <w:rPr>
                <w:sz w:val="18"/>
                <w:szCs w:val="18"/>
              </w:rPr>
              <w:t>2.8/1.8/1.2 (4.4)</w:t>
            </w:r>
          </w:p>
        </w:tc>
        <w:tc>
          <w:tcPr>
            <w:tcW w:w="250" w:type="dxa"/>
            <w:shd w:val="clear" w:color="auto" w:fill="auto"/>
            <w:vAlign w:val="center"/>
          </w:tcPr>
          <w:p w14:paraId="71BF0104" w14:textId="77777777" w:rsidR="00E6340F" w:rsidRPr="003F7B43" w:rsidRDefault="00E6340F">
            <w:pPr>
              <w:spacing w:line="276" w:lineRule="auto"/>
              <w:jc w:val="center"/>
              <w:rPr>
                <w:sz w:val="18"/>
                <w:szCs w:val="18"/>
              </w:rPr>
            </w:pPr>
          </w:p>
        </w:tc>
        <w:tc>
          <w:tcPr>
            <w:tcW w:w="791" w:type="dxa"/>
            <w:tcBorders>
              <w:top w:val="single" w:sz="4" w:space="0" w:color="000000"/>
              <w:left w:val="nil"/>
              <w:bottom w:val="single" w:sz="4" w:space="0" w:color="000000"/>
              <w:right w:val="nil"/>
            </w:tcBorders>
            <w:shd w:val="clear" w:color="auto" w:fill="auto"/>
            <w:vAlign w:val="center"/>
          </w:tcPr>
          <w:p w14:paraId="4796DAB5" w14:textId="77777777" w:rsidR="00E6340F" w:rsidRPr="003F7B43" w:rsidRDefault="00F63F83">
            <w:pPr>
              <w:spacing w:line="276" w:lineRule="auto"/>
              <w:jc w:val="center"/>
              <w:rPr>
                <w:sz w:val="18"/>
                <w:szCs w:val="18"/>
              </w:rPr>
            </w:pPr>
            <w:r w:rsidRPr="003F7B43">
              <w:rPr>
                <w:sz w:val="18"/>
                <w:szCs w:val="18"/>
              </w:rPr>
              <w:t>12</w:t>
            </w:r>
          </w:p>
        </w:tc>
        <w:tc>
          <w:tcPr>
            <w:tcW w:w="1373" w:type="dxa"/>
            <w:tcBorders>
              <w:top w:val="single" w:sz="4" w:space="0" w:color="000000"/>
              <w:left w:val="nil"/>
              <w:bottom w:val="single" w:sz="4" w:space="0" w:color="000000"/>
              <w:right w:val="nil"/>
            </w:tcBorders>
            <w:shd w:val="clear" w:color="auto" w:fill="auto"/>
            <w:vAlign w:val="center"/>
          </w:tcPr>
          <w:p w14:paraId="01512D18" w14:textId="77777777" w:rsidR="00E6340F" w:rsidRPr="003F7B43" w:rsidRDefault="00F63F83">
            <w:pPr>
              <w:spacing w:line="276" w:lineRule="auto"/>
              <w:jc w:val="center"/>
              <w:rPr>
                <w:sz w:val="18"/>
                <w:szCs w:val="18"/>
              </w:rPr>
            </w:pPr>
            <w:r w:rsidRPr="003F7B43">
              <w:rPr>
                <w:sz w:val="18"/>
                <w:szCs w:val="18"/>
              </w:rPr>
              <w:t>96 EU</w:t>
            </w:r>
          </w:p>
        </w:tc>
        <w:tc>
          <w:tcPr>
            <w:tcW w:w="250" w:type="dxa"/>
            <w:shd w:val="clear" w:color="auto" w:fill="auto"/>
            <w:vAlign w:val="center"/>
          </w:tcPr>
          <w:p w14:paraId="223BB54E" w14:textId="77777777" w:rsidR="00E6340F" w:rsidRPr="003F7B43" w:rsidRDefault="00E6340F">
            <w:pPr>
              <w:spacing w:line="276" w:lineRule="auto"/>
              <w:jc w:val="center"/>
              <w:rPr>
                <w:sz w:val="18"/>
                <w:szCs w:val="18"/>
              </w:rPr>
            </w:pPr>
          </w:p>
        </w:tc>
      </w:tr>
      <w:tr w:rsidR="0022610C" w:rsidRPr="003F7B43" w14:paraId="1437A432" w14:textId="77777777" w:rsidTr="00F63F83">
        <w:trPr>
          <w:trHeight w:val="340"/>
        </w:trPr>
        <w:tc>
          <w:tcPr>
            <w:tcW w:w="251" w:type="dxa"/>
            <w:shd w:val="clear" w:color="auto" w:fill="auto"/>
            <w:vAlign w:val="center"/>
          </w:tcPr>
          <w:p w14:paraId="17102521" w14:textId="77777777" w:rsidR="00E6340F" w:rsidRPr="003F7B43" w:rsidRDefault="00E6340F">
            <w:pPr>
              <w:spacing w:line="276" w:lineRule="auto"/>
              <w:rPr>
                <w:sz w:val="18"/>
                <w:szCs w:val="18"/>
              </w:rPr>
            </w:pPr>
          </w:p>
        </w:tc>
        <w:tc>
          <w:tcPr>
            <w:tcW w:w="2312" w:type="dxa"/>
            <w:tcBorders>
              <w:top w:val="single" w:sz="4" w:space="0" w:color="000000"/>
              <w:left w:val="nil"/>
              <w:bottom w:val="single" w:sz="4" w:space="0" w:color="000000"/>
              <w:right w:val="nil"/>
            </w:tcBorders>
            <w:shd w:val="clear" w:color="auto" w:fill="auto"/>
            <w:vAlign w:val="center"/>
          </w:tcPr>
          <w:p w14:paraId="616D1D48" w14:textId="77777777" w:rsidR="00E6340F" w:rsidRPr="003F7B43" w:rsidRDefault="00F63F83">
            <w:pPr>
              <w:spacing w:line="276" w:lineRule="auto"/>
              <w:rPr>
                <w:sz w:val="18"/>
                <w:szCs w:val="18"/>
              </w:rPr>
            </w:pPr>
            <w:r w:rsidRPr="003F7B43">
              <w:rPr>
                <w:sz w:val="18"/>
                <w:szCs w:val="18"/>
              </w:rPr>
              <w:t>Intel</w:t>
            </w:r>
            <w:r w:rsidRPr="003F7B43">
              <w:rPr>
                <w:sz w:val="18"/>
                <w:szCs w:val="18"/>
                <w:vertAlign w:val="superscript"/>
              </w:rPr>
              <w:t>®</w:t>
            </w:r>
            <w:r w:rsidRPr="003F7B43">
              <w:rPr>
                <w:sz w:val="18"/>
                <w:szCs w:val="18"/>
              </w:rPr>
              <w:t xml:space="preserve"> Core™ i5-1145GRE</w:t>
            </w:r>
          </w:p>
        </w:tc>
        <w:tc>
          <w:tcPr>
            <w:tcW w:w="283" w:type="dxa"/>
            <w:shd w:val="clear" w:color="auto" w:fill="auto"/>
            <w:vAlign w:val="center"/>
          </w:tcPr>
          <w:p w14:paraId="32093923" w14:textId="77777777" w:rsidR="00E6340F" w:rsidRPr="003F7B43" w:rsidRDefault="00E6340F">
            <w:pPr>
              <w:spacing w:line="276" w:lineRule="auto"/>
              <w:rPr>
                <w:sz w:val="18"/>
                <w:szCs w:val="18"/>
              </w:rPr>
            </w:pPr>
          </w:p>
        </w:tc>
        <w:tc>
          <w:tcPr>
            <w:tcW w:w="960" w:type="dxa"/>
            <w:tcBorders>
              <w:top w:val="single" w:sz="4" w:space="0" w:color="000000"/>
              <w:left w:val="nil"/>
              <w:bottom w:val="single" w:sz="4" w:space="0" w:color="000000"/>
              <w:right w:val="nil"/>
            </w:tcBorders>
            <w:shd w:val="clear" w:color="auto" w:fill="auto"/>
            <w:vAlign w:val="center"/>
          </w:tcPr>
          <w:p w14:paraId="26E1AF5C" w14:textId="77777777" w:rsidR="00E6340F" w:rsidRPr="003F7B43" w:rsidRDefault="00F63F83">
            <w:pPr>
              <w:spacing w:line="276" w:lineRule="auto"/>
              <w:jc w:val="center"/>
              <w:rPr>
                <w:sz w:val="18"/>
                <w:szCs w:val="18"/>
              </w:rPr>
            </w:pPr>
            <w:r w:rsidRPr="003F7B43">
              <w:rPr>
                <w:sz w:val="18"/>
                <w:szCs w:val="18"/>
              </w:rPr>
              <w:t>4/8</w:t>
            </w:r>
          </w:p>
        </w:tc>
        <w:tc>
          <w:tcPr>
            <w:tcW w:w="250" w:type="dxa"/>
            <w:shd w:val="clear" w:color="auto" w:fill="auto"/>
            <w:vAlign w:val="center"/>
          </w:tcPr>
          <w:p w14:paraId="3B112660" w14:textId="77777777" w:rsidR="00E6340F" w:rsidRPr="003F7B43" w:rsidRDefault="00E6340F">
            <w:pPr>
              <w:spacing w:line="276" w:lineRule="auto"/>
              <w:jc w:val="center"/>
              <w:rPr>
                <w:sz w:val="18"/>
                <w:szCs w:val="18"/>
              </w:rPr>
            </w:pPr>
          </w:p>
        </w:tc>
        <w:tc>
          <w:tcPr>
            <w:tcW w:w="1995" w:type="dxa"/>
            <w:tcBorders>
              <w:top w:val="single" w:sz="4" w:space="0" w:color="000000"/>
              <w:left w:val="nil"/>
              <w:bottom w:val="single" w:sz="4" w:space="0" w:color="000000"/>
              <w:right w:val="nil"/>
            </w:tcBorders>
            <w:shd w:val="clear" w:color="auto" w:fill="auto"/>
            <w:vAlign w:val="center"/>
          </w:tcPr>
          <w:p w14:paraId="1BFA156E" w14:textId="77777777" w:rsidR="00E6340F" w:rsidRPr="003F7B43" w:rsidRDefault="00F63F83">
            <w:pPr>
              <w:jc w:val="center"/>
              <w:rPr>
                <w:sz w:val="18"/>
                <w:szCs w:val="18"/>
              </w:rPr>
            </w:pPr>
            <w:r w:rsidRPr="003F7B43">
              <w:rPr>
                <w:sz w:val="18"/>
                <w:szCs w:val="18"/>
              </w:rPr>
              <w:t>2.6/1.5/1.1 (4.1)</w:t>
            </w:r>
          </w:p>
        </w:tc>
        <w:tc>
          <w:tcPr>
            <w:tcW w:w="250" w:type="dxa"/>
            <w:shd w:val="clear" w:color="auto" w:fill="auto"/>
            <w:vAlign w:val="center"/>
          </w:tcPr>
          <w:p w14:paraId="6414EDA8" w14:textId="77777777" w:rsidR="00E6340F" w:rsidRPr="003F7B43" w:rsidRDefault="00E6340F">
            <w:pPr>
              <w:spacing w:line="276" w:lineRule="auto"/>
              <w:jc w:val="center"/>
              <w:rPr>
                <w:sz w:val="18"/>
                <w:szCs w:val="18"/>
              </w:rPr>
            </w:pPr>
          </w:p>
        </w:tc>
        <w:tc>
          <w:tcPr>
            <w:tcW w:w="791" w:type="dxa"/>
            <w:tcBorders>
              <w:top w:val="single" w:sz="4" w:space="0" w:color="000000"/>
              <w:left w:val="nil"/>
              <w:bottom w:val="single" w:sz="4" w:space="0" w:color="000000"/>
              <w:right w:val="nil"/>
            </w:tcBorders>
            <w:shd w:val="clear" w:color="auto" w:fill="auto"/>
            <w:vAlign w:val="center"/>
          </w:tcPr>
          <w:p w14:paraId="11EE37ED" w14:textId="77777777" w:rsidR="00E6340F" w:rsidRPr="003F7B43" w:rsidRDefault="00F63F83">
            <w:pPr>
              <w:jc w:val="center"/>
              <w:rPr>
                <w:sz w:val="18"/>
                <w:szCs w:val="18"/>
              </w:rPr>
            </w:pPr>
            <w:r w:rsidRPr="003F7B43">
              <w:rPr>
                <w:sz w:val="18"/>
                <w:szCs w:val="18"/>
              </w:rPr>
              <w:t>8</w:t>
            </w:r>
          </w:p>
        </w:tc>
        <w:tc>
          <w:tcPr>
            <w:tcW w:w="1373" w:type="dxa"/>
            <w:tcBorders>
              <w:top w:val="single" w:sz="4" w:space="0" w:color="000000"/>
              <w:left w:val="nil"/>
              <w:bottom w:val="single" w:sz="4" w:space="0" w:color="000000"/>
              <w:right w:val="nil"/>
            </w:tcBorders>
            <w:shd w:val="clear" w:color="auto" w:fill="auto"/>
            <w:vAlign w:val="center"/>
          </w:tcPr>
          <w:p w14:paraId="7AE4362B" w14:textId="77777777" w:rsidR="00E6340F" w:rsidRPr="003F7B43" w:rsidRDefault="00F63F83">
            <w:pPr>
              <w:jc w:val="center"/>
              <w:rPr>
                <w:sz w:val="18"/>
                <w:szCs w:val="18"/>
              </w:rPr>
            </w:pPr>
            <w:r w:rsidRPr="003F7B43">
              <w:rPr>
                <w:sz w:val="18"/>
                <w:szCs w:val="18"/>
              </w:rPr>
              <w:t>80 EU</w:t>
            </w:r>
          </w:p>
        </w:tc>
        <w:tc>
          <w:tcPr>
            <w:tcW w:w="250" w:type="dxa"/>
            <w:shd w:val="clear" w:color="auto" w:fill="auto"/>
            <w:vAlign w:val="center"/>
          </w:tcPr>
          <w:p w14:paraId="1FFEFCDE" w14:textId="77777777" w:rsidR="00E6340F" w:rsidRPr="003F7B43" w:rsidRDefault="00E6340F">
            <w:pPr>
              <w:jc w:val="center"/>
              <w:rPr>
                <w:sz w:val="18"/>
                <w:szCs w:val="18"/>
              </w:rPr>
            </w:pPr>
          </w:p>
        </w:tc>
      </w:tr>
      <w:tr w:rsidR="0022610C" w:rsidRPr="003F7B43" w14:paraId="72BC3FC4" w14:textId="77777777" w:rsidTr="00F63F83">
        <w:trPr>
          <w:trHeight w:val="340"/>
        </w:trPr>
        <w:tc>
          <w:tcPr>
            <w:tcW w:w="251" w:type="dxa"/>
            <w:shd w:val="clear" w:color="auto" w:fill="auto"/>
            <w:vAlign w:val="center"/>
          </w:tcPr>
          <w:p w14:paraId="35A2D9F2" w14:textId="77777777" w:rsidR="00E6340F" w:rsidRPr="003F7B43" w:rsidRDefault="00E6340F">
            <w:pPr>
              <w:spacing w:line="276" w:lineRule="auto"/>
              <w:rPr>
                <w:sz w:val="18"/>
                <w:szCs w:val="18"/>
              </w:rPr>
            </w:pPr>
          </w:p>
        </w:tc>
        <w:tc>
          <w:tcPr>
            <w:tcW w:w="2312" w:type="dxa"/>
            <w:tcBorders>
              <w:top w:val="single" w:sz="4" w:space="0" w:color="000000"/>
              <w:left w:val="nil"/>
              <w:bottom w:val="single" w:sz="4" w:space="0" w:color="000000"/>
              <w:right w:val="nil"/>
            </w:tcBorders>
            <w:shd w:val="clear" w:color="auto" w:fill="auto"/>
            <w:vAlign w:val="center"/>
          </w:tcPr>
          <w:p w14:paraId="438FF334" w14:textId="77777777" w:rsidR="00E6340F" w:rsidRPr="003F7B43" w:rsidRDefault="00F63F83">
            <w:pPr>
              <w:spacing w:line="276" w:lineRule="auto"/>
              <w:rPr>
                <w:sz w:val="18"/>
                <w:szCs w:val="18"/>
              </w:rPr>
            </w:pPr>
            <w:r w:rsidRPr="003F7B43">
              <w:rPr>
                <w:sz w:val="18"/>
                <w:szCs w:val="18"/>
              </w:rPr>
              <w:t>Intel</w:t>
            </w:r>
            <w:r w:rsidRPr="003F7B43">
              <w:rPr>
                <w:sz w:val="18"/>
                <w:szCs w:val="18"/>
                <w:vertAlign w:val="superscript"/>
              </w:rPr>
              <w:t>®</w:t>
            </w:r>
            <w:r w:rsidRPr="003F7B43">
              <w:rPr>
                <w:sz w:val="18"/>
                <w:szCs w:val="18"/>
              </w:rPr>
              <w:t xml:space="preserve"> Core™ i3-1115GRE</w:t>
            </w:r>
          </w:p>
        </w:tc>
        <w:tc>
          <w:tcPr>
            <w:tcW w:w="283" w:type="dxa"/>
            <w:shd w:val="clear" w:color="auto" w:fill="auto"/>
            <w:vAlign w:val="center"/>
          </w:tcPr>
          <w:p w14:paraId="0471E703" w14:textId="77777777" w:rsidR="00E6340F" w:rsidRPr="003F7B43" w:rsidRDefault="00E6340F">
            <w:pPr>
              <w:spacing w:line="276" w:lineRule="auto"/>
              <w:rPr>
                <w:sz w:val="18"/>
                <w:szCs w:val="18"/>
              </w:rPr>
            </w:pPr>
          </w:p>
        </w:tc>
        <w:tc>
          <w:tcPr>
            <w:tcW w:w="960" w:type="dxa"/>
            <w:tcBorders>
              <w:top w:val="single" w:sz="4" w:space="0" w:color="000000"/>
              <w:left w:val="nil"/>
              <w:bottom w:val="single" w:sz="4" w:space="0" w:color="000000"/>
              <w:right w:val="nil"/>
            </w:tcBorders>
            <w:shd w:val="clear" w:color="auto" w:fill="auto"/>
            <w:vAlign w:val="center"/>
          </w:tcPr>
          <w:p w14:paraId="20B81EC1" w14:textId="77777777" w:rsidR="00E6340F" w:rsidRPr="003F7B43" w:rsidRDefault="00F63F83">
            <w:pPr>
              <w:spacing w:line="276" w:lineRule="auto"/>
              <w:jc w:val="center"/>
              <w:rPr>
                <w:sz w:val="18"/>
                <w:szCs w:val="18"/>
              </w:rPr>
            </w:pPr>
            <w:r w:rsidRPr="003F7B43">
              <w:rPr>
                <w:sz w:val="18"/>
                <w:szCs w:val="18"/>
              </w:rPr>
              <w:t>2/4</w:t>
            </w:r>
          </w:p>
        </w:tc>
        <w:tc>
          <w:tcPr>
            <w:tcW w:w="250" w:type="dxa"/>
            <w:shd w:val="clear" w:color="auto" w:fill="auto"/>
            <w:vAlign w:val="center"/>
          </w:tcPr>
          <w:p w14:paraId="5280A296" w14:textId="77777777" w:rsidR="00E6340F" w:rsidRPr="003F7B43" w:rsidRDefault="00E6340F">
            <w:pPr>
              <w:spacing w:line="276" w:lineRule="auto"/>
              <w:jc w:val="center"/>
              <w:rPr>
                <w:sz w:val="18"/>
                <w:szCs w:val="18"/>
              </w:rPr>
            </w:pPr>
          </w:p>
        </w:tc>
        <w:tc>
          <w:tcPr>
            <w:tcW w:w="1995" w:type="dxa"/>
            <w:tcBorders>
              <w:top w:val="single" w:sz="4" w:space="0" w:color="000000"/>
              <w:left w:val="nil"/>
              <w:bottom w:val="single" w:sz="4" w:space="0" w:color="000000"/>
              <w:right w:val="nil"/>
            </w:tcBorders>
            <w:shd w:val="clear" w:color="auto" w:fill="auto"/>
            <w:vAlign w:val="center"/>
          </w:tcPr>
          <w:p w14:paraId="2BEA317B" w14:textId="77777777" w:rsidR="00E6340F" w:rsidRPr="003F7B43" w:rsidRDefault="00F63F83">
            <w:pPr>
              <w:jc w:val="center"/>
              <w:rPr>
                <w:sz w:val="18"/>
                <w:szCs w:val="18"/>
              </w:rPr>
            </w:pPr>
            <w:r w:rsidRPr="003F7B43">
              <w:rPr>
                <w:sz w:val="18"/>
                <w:szCs w:val="18"/>
              </w:rPr>
              <w:t>3.0/2.2/1.7 (3.9)</w:t>
            </w:r>
          </w:p>
        </w:tc>
        <w:tc>
          <w:tcPr>
            <w:tcW w:w="250" w:type="dxa"/>
            <w:shd w:val="clear" w:color="auto" w:fill="auto"/>
            <w:vAlign w:val="center"/>
          </w:tcPr>
          <w:p w14:paraId="5278FF1E" w14:textId="77777777" w:rsidR="00E6340F" w:rsidRPr="003F7B43" w:rsidRDefault="00E6340F">
            <w:pPr>
              <w:spacing w:line="276" w:lineRule="auto"/>
              <w:jc w:val="center"/>
              <w:rPr>
                <w:sz w:val="18"/>
                <w:szCs w:val="18"/>
              </w:rPr>
            </w:pPr>
          </w:p>
        </w:tc>
        <w:tc>
          <w:tcPr>
            <w:tcW w:w="791" w:type="dxa"/>
            <w:tcBorders>
              <w:top w:val="single" w:sz="4" w:space="0" w:color="000000"/>
              <w:left w:val="nil"/>
              <w:bottom w:val="single" w:sz="4" w:space="0" w:color="000000"/>
              <w:right w:val="nil"/>
            </w:tcBorders>
            <w:shd w:val="clear" w:color="auto" w:fill="auto"/>
            <w:vAlign w:val="center"/>
          </w:tcPr>
          <w:p w14:paraId="06E00E06" w14:textId="77777777" w:rsidR="00E6340F" w:rsidRPr="003F7B43" w:rsidRDefault="00F63F83">
            <w:pPr>
              <w:jc w:val="center"/>
              <w:rPr>
                <w:sz w:val="18"/>
                <w:szCs w:val="18"/>
              </w:rPr>
            </w:pPr>
            <w:r w:rsidRPr="003F7B43">
              <w:rPr>
                <w:sz w:val="18"/>
                <w:szCs w:val="18"/>
              </w:rPr>
              <w:t>6</w:t>
            </w:r>
          </w:p>
        </w:tc>
        <w:tc>
          <w:tcPr>
            <w:tcW w:w="1373" w:type="dxa"/>
            <w:tcBorders>
              <w:top w:val="single" w:sz="4" w:space="0" w:color="000000"/>
              <w:left w:val="nil"/>
              <w:bottom w:val="single" w:sz="4" w:space="0" w:color="000000"/>
              <w:right w:val="nil"/>
            </w:tcBorders>
            <w:shd w:val="clear" w:color="auto" w:fill="auto"/>
            <w:vAlign w:val="center"/>
          </w:tcPr>
          <w:p w14:paraId="5C86B3C6" w14:textId="77777777" w:rsidR="00E6340F" w:rsidRPr="003F7B43" w:rsidRDefault="00F63F83">
            <w:pPr>
              <w:jc w:val="center"/>
              <w:rPr>
                <w:sz w:val="18"/>
                <w:szCs w:val="18"/>
              </w:rPr>
            </w:pPr>
            <w:r w:rsidRPr="003F7B43">
              <w:rPr>
                <w:sz w:val="18"/>
                <w:szCs w:val="18"/>
              </w:rPr>
              <w:t>48 EU</w:t>
            </w:r>
          </w:p>
        </w:tc>
        <w:tc>
          <w:tcPr>
            <w:tcW w:w="250" w:type="dxa"/>
            <w:shd w:val="clear" w:color="auto" w:fill="auto"/>
            <w:vAlign w:val="center"/>
          </w:tcPr>
          <w:p w14:paraId="36ABAA97" w14:textId="77777777" w:rsidR="00E6340F" w:rsidRPr="003F7B43" w:rsidRDefault="00E6340F">
            <w:pPr>
              <w:jc w:val="center"/>
              <w:rPr>
                <w:sz w:val="18"/>
                <w:szCs w:val="18"/>
              </w:rPr>
            </w:pPr>
          </w:p>
        </w:tc>
      </w:tr>
    </w:tbl>
    <w:p w14:paraId="02E48E16" w14:textId="77777777" w:rsidR="00E6340F" w:rsidRPr="003F7B43" w:rsidRDefault="00E6340F"/>
    <w:p w14:paraId="152B8C7B" w14:textId="77777777" w:rsidR="00E6340F" w:rsidRPr="003F7B43" w:rsidRDefault="00E6340F"/>
    <w:p w14:paraId="4DECF437" w14:textId="1834626D" w:rsidR="00E6340F" w:rsidRPr="00F63F83" w:rsidRDefault="00A12D1F">
      <w:pPr>
        <w:rPr>
          <w:lang w:val="fr-FR"/>
        </w:rPr>
      </w:pPr>
      <w:r w:rsidRPr="00F63F83">
        <w:rPr>
          <w:lang w:val="fr-FR"/>
        </w:rPr>
        <w:lastRenderedPageBreak/>
        <w:t>congatec propose également des cartes porteuses correspondantes et des solutions de refroidissement complètes pour son module COM Express certifié IEC-60068, ce qui permet de concevoir rapidement des applications. Les solutions uniques de refroidissement passif par caloducs fournies par congatec garantissent une dissipation thermique et une robustesse optimales, grâce à une conception sans ventilateur, ce qui prolonge la durée de vie et la fiabilité du module. En outre, les services de conception et de mesure de la conformité de congatec pour PCIe Gen4/5 et USB4 simplifient et accélèrent la conception des applications, améliorant la sécurité de la conception et réduisant les délais de mise sur le marché.</w:t>
      </w:r>
    </w:p>
    <w:p w14:paraId="1661C6E9" w14:textId="6FD36CED" w:rsidR="00E6340F" w:rsidRPr="00F63F83" w:rsidRDefault="00A12D1F">
      <w:pPr>
        <w:rPr>
          <w:lang w:val="fr-FR"/>
        </w:rPr>
      </w:pPr>
      <w:r w:rsidRPr="00F63F83">
        <w:rPr>
          <w:lang w:val="fr-FR"/>
        </w:rPr>
        <w:t xml:space="preserve">Plus d’infos sur les nouveaux modules COM Express conga-TC570r sur : </w:t>
      </w:r>
      <w:hyperlink r:id="rId11">
        <w:r w:rsidRPr="00F63F83">
          <w:rPr>
            <w:u w:val="single"/>
            <w:lang w:val="fr-FR"/>
          </w:rPr>
          <w:t>www.congatec.com/en/products/com-express-type-6/conga-tc570r/</w:t>
        </w:r>
      </w:hyperlink>
    </w:p>
    <w:p w14:paraId="4018A5D2" w14:textId="77777777" w:rsidR="00E6340F" w:rsidRPr="00F63F83" w:rsidRDefault="00E6340F">
      <w:pPr>
        <w:rPr>
          <w:b/>
          <w:lang w:val="fr-FR"/>
        </w:rPr>
      </w:pPr>
    </w:p>
    <w:p w14:paraId="0C9E4694" w14:textId="399ADF90" w:rsidR="00E6340F" w:rsidRPr="00F63F83" w:rsidRDefault="00A12D1F">
      <w:pPr>
        <w:rPr>
          <w:u w:val="single"/>
          <w:lang w:val="fr-FR"/>
        </w:rPr>
      </w:pPr>
      <w:r w:rsidRPr="00F63F83">
        <w:rPr>
          <w:lang w:val="fr-FR"/>
        </w:rPr>
        <w:t xml:space="preserve">Plus d’infos sur les processeurs supplémentaires </w:t>
      </w:r>
      <w:r w:rsidRPr="00F63F83">
        <w:rPr>
          <w:rFonts w:eastAsia="Tahoma"/>
          <w:highlight w:val="white"/>
          <w:lang w:val="fr-FR"/>
        </w:rPr>
        <w:t xml:space="preserve">Intel® </w:t>
      </w:r>
      <w:proofErr w:type="spellStart"/>
      <w:r w:rsidRPr="00F63F83">
        <w:rPr>
          <w:rFonts w:eastAsia="Tahoma"/>
          <w:highlight w:val="white"/>
          <w:lang w:val="fr-FR"/>
        </w:rPr>
        <w:t>Core</w:t>
      </w:r>
      <w:proofErr w:type="spellEnd"/>
      <w:r w:rsidRPr="00F63F83">
        <w:rPr>
          <w:lang w:val="fr-FR"/>
        </w:rPr>
        <w:t xml:space="preserve"> 11e Génération </w:t>
      </w:r>
      <w:proofErr w:type="gramStart"/>
      <w:r w:rsidR="00660ECB" w:rsidRPr="00F63F83">
        <w:rPr>
          <w:lang w:val="fr-FR"/>
        </w:rPr>
        <w:t>sur:</w:t>
      </w:r>
      <w:proofErr w:type="gramEnd"/>
      <w:r w:rsidRPr="00F63F83">
        <w:rPr>
          <w:lang w:val="fr-FR"/>
        </w:rPr>
        <w:t xml:space="preserve"> </w:t>
      </w:r>
      <w:hyperlink r:id="rId12">
        <w:r w:rsidRPr="00F63F83">
          <w:rPr>
            <w:u w:val="single"/>
            <w:lang w:val="fr-FR"/>
          </w:rPr>
          <w:t>https://congatec.com/11th-gen-intel-core/</w:t>
        </w:r>
      </w:hyperlink>
    </w:p>
    <w:p w14:paraId="2F0654B6" w14:textId="77777777" w:rsidR="00E6340F" w:rsidRPr="00F63F83" w:rsidRDefault="00E6340F">
      <w:pPr>
        <w:pBdr>
          <w:top w:val="nil"/>
          <w:left w:val="nil"/>
          <w:bottom w:val="nil"/>
          <w:right w:val="nil"/>
          <w:between w:val="nil"/>
        </w:pBdr>
        <w:spacing w:line="240" w:lineRule="auto"/>
        <w:ind w:right="283"/>
        <w:jc w:val="both"/>
        <w:rPr>
          <w:color w:val="000000"/>
          <w:sz w:val="18"/>
          <w:szCs w:val="18"/>
          <w:lang w:val="fr-FR"/>
        </w:rPr>
      </w:pPr>
    </w:p>
    <w:p w14:paraId="5F8A6BAC" w14:textId="77777777" w:rsidR="001A459F" w:rsidRPr="00F63F83" w:rsidRDefault="001A459F">
      <w:pPr>
        <w:pBdr>
          <w:top w:val="nil"/>
          <w:left w:val="nil"/>
          <w:bottom w:val="nil"/>
          <w:right w:val="nil"/>
          <w:between w:val="nil"/>
        </w:pBdr>
        <w:spacing w:line="240" w:lineRule="auto"/>
        <w:ind w:right="283"/>
        <w:jc w:val="both"/>
        <w:rPr>
          <w:color w:val="000000"/>
          <w:sz w:val="18"/>
          <w:szCs w:val="18"/>
          <w:lang w:val="fr-FR"/>
        </w:rPr>
      </w:pPr>
    </w:p>
    <w:p w14:paraId="02051D9D" w14:textId="77777777" w:rsidR="005D2C30" w:rsidRPr="003F7B43" w:rsidRDefault="005D2C30" w:rsidP="007207D3">
      <w:pPr>
        <w:pStyle w:val="paragraph"/>
        <w:spacing w:before="0" w:beforeAutospacing="0" w:after="0" w:afterAutospacing="0"/>
        <w:textAlignment w:val="baseline"/>
        <w:rPr>
          <w:rFonts w:ascii="Arial" w:hAnsi="Arial" w:cs="Arial"/>
          <w:sz w:val="18"/>
          <w:szCs w:val="18"/>
          <w:lang w:val="fr-FR"/>
        </w:rPr>
      </w:pPr>
      <w:r w:rsidRPr="003F7B43">
        <w:rPr>
          <w:rStyle w:val="normaltextrun"/>
          <w:rFonts w:ascii="Arial" w:eastAsiaTheme="majorEastAsia" w:hAnsi="Arial" w:cs="Arial"/>
          <w:b/>
          <w:sz w:val="18"/>
          <w:szCs w:val="18"/>
          <w:lang w:val="fr-FR"/>
        </w:rPr>
        <w:t>À propos de congatec </w:t>
      </w:r>
      <w:r w:rsidRPr="003F7B43">
        <w:rPr>
          <w:rStyle w:val="eop"/>
          <w:rFonts w:ascii="Arial" w:hAnsi="Arial" w:cs="Arial"/>
          <w:sz w:val="18"/>
          <w:szCs w:val="18"/>
          <w:lang w:val="fr-FR"/>
        </w:rPr>
        <w:t> </w:t>
      </w:r>
    </w:p>
    <w:p w14:paraId="194DB55A" w14:textId="77777777" w:rsidR="005D2C30" w:rsidRPr="00F63F83" w:rsidRDefault="005D2C30" w:rsidP="007207D3">
      <w:pPr>
        <w:pStyle w:val="xxstandard1"/>
        <w:spacing w:line="240" w:lineRule="auto"/>
        <w:rPr>
          <w:rStyle w:val="normaltextrun"/>
          <w:color w:val="0000FF"/>
          <w:sz w:val="21"/>
          <w:szCs w:val="21"/>
          <w:u w:val="single"/>
          <w:lang w:val="fr-FR"/>
        </w:rPr>
      </w:pPr>
      <w:r w:rsidRPr="00F63F83">
        <w:rPr>
          <w:rStyle w:val="normaltextrun"/>
          <w:sz w:val="18"/>
          <w:szCs w:val="18"/>
          <w:lang w:val="fr-FR"/>
        </w:rPr>
        <w:t xml:space="preserve">congatec est une entreprise technologique à croissance rapide qui se concentre sur les produits et services d'informatique embarquée et de périphérie. Les modules informatiques à haute performance sont utilisés dans une large gamme d'applications et de dispositifs dans l'automatisation industrielle, la technologie médicale, la robotique, les télécommunications et de nombreux autres secteurs verticaux. 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De plus amples informations sont disponibles sur notre site Site web : </w:t>
      </w:r>
      <w:r w:rsidR="00F63F83">
        <w:fldChar w:fldCharType="begin"/>
      </w:r>
      <w:r w:rsidR="00F63F83" w:rsidRPr="00F63F83">
        <w:rPr>
          <w:lang w:val="fr-FR"/>
        </w:rPr>
        <w:instrText xml:space="preserve"> HYPERLINK "http://www.congatec.com/" \t "_blank" </w:instrText>
      </w:r>
      <w:r w:rsidR="00F63F83">
        <w:fldChar w:fldCharType="separate"/>
      </w:r>
      <w:r w:rsidRPr="00F63F83">
        <w:rPr>
          <w:rStyle w:val="normaltextrun"/>
          <w:color w:val="0000FF"/>
          <w:sz w:val="18"/>
          <w:szCs w:val="18"/>
          <w:u w:val="single"/>
          <w:lang w:val="fr-FR"/>
        </w:rPr>
        <w:t>www.congatec.com</w:t>
      </w:r>
      <w:r w:rsidR="00F63F83">
        <w:rPr>
          <w:rStyle w:val="normaltextrun"/>
          <w:color w:val="0000FF"/>
          <w:sz w:val="18"/>
          <w:szCs w:val="18"/>
          <w:u w:val="single"/>
        </w:rPr>
        <w:fldChar w:fldCharType="end"/>
      </w:r>
      <w:r w:rsidRPr="00F63F83">
        <w:rPr>
          <w:rStyle w:val="normaltextrun"/>
          <w:sz w:val="18"/>
          <w:szCs w:val="18"/>
          <w:u w:val="single"/>
          <w:lang w:val="fr-FR"/>
        </w:rPr>
        <w:t xml:space="preserve"> </w:t>
      </w:r>
      <w:r w:rsidRPr="00F63F83">
        <w:rPr>
          <w:rStyle w:val="normaltextrun"/>
          <w:sz w:val="18"/>
          <w:szCs w:val="18"/>
          <w:lang w:val="fr-FR"/>
        </w:rPr>
        <w:t xml:space="preserve">ou via </w:t>
      </w:r>
      <w:r w:rsidR="00F63F83">
        <w:fldChar w:fldCharType="begin"/>
      </w:r>
      <w:r w:rsidR="00F63F83" w:rsidRPr="00F63F83">
        <w:rPr>
          <w:lang w:val="fr-FR"/>
        </w:rPr>
        <w:instrText xml:space="preserve"> HYPERLINK "https://www.linkedin.com/company/455449" \t "_blank" </w:instrText>
      </w:r>
      <w:r w:rsidR="00F63F83">
        <w:fldChar w:fldCharType="separate"/>
      </w:r>
      <w:r w:rsidRPr="00F63F83">
        <w:rPr>
          <w:rStyle w:val="normaltextrun"/>
          <w:color w:val="0000FF"/>
          <w:sz w:val="18"/>
          <w:szCs w:val="18"/>
          <w:u w:val="single"/>
          <w:lang w:val="fr-FR"/>
        </w:rPr>
        <w:t>LinkedIn</w:t>
      </w:r>
      <w:r w:rsidR="00F63F83">
        <w:rPr>
          <w:rStyle w:val="normaltextrun"/>
          <w:color w:val="0000FF"/>
          <w:sz w:val="18"/>
          <w:szCs w:val="18"/>
          <w:u w:val="single"/>
        </w:rPr>
        <w:fldChar w:fldCharType="end"/>
      </w:r>
      <w:r w:rsidRPr="00F63F83">
        <w:rPr>
          <w:rStyle w:val="normaltextrun"/>
          <w:sz w:val="18"/>
          <w:szCs w:val="18"/>
          <w:lang w:val="fr-FR"/>
        </w:rPr>
        <w:t xml:space="preserve">, </w:t>
      </w:r>
      <w:r w:rsidR="00F63F83">
        <w:fldChar w:fldCharType="begin"/>
      </w:r>
      <w:r w:rsidR="00F63F83" w:rsidRPr="00F63F83">
        <w:rPr>
          <w:lang w:val="fr-FR"/>
        </w:rPr>
        <w:instrText xml:space="preserve"> HYPERLINK "https://mobile.twitter.com/congatecAG" \t "_blank" </w:instrText>
      </w:r>
      <w:r w:rsidR="00F63F83">
        <w:fldChar w:fldCharType="separate"/>
      </w:r>
      <w:r w:rsidRPr="00F63F83">
        <w:rPr>
          <w:rStyle w:val="normaltextrun"/>
          <w:color w:val="0000FF"/>
          <w:sz w:val="18"/>
          <w:szCs w:val="18"/>
          <w:u w:val="single"/>
          <w:lang w:val="fr-FR"/>
        </w:rPr>
        <w:t>Twitter</w:t>
      </w:r>
      <w:r w:rsidR="00F63F83">
        <w:rPr>
          <w:rStyle w:val="normaltextrun"/>
          <w:color w:val="0000FF"/>
          <w:sz w:val="18"/>
          <w:szCs w:val="18"/>
          <w:u w:val="single"/>
        </w:rPr>
        <w:fldChar w:fldCharType="end"/>
      </w:r>
      <w:r w:rsidRPr="00F63F83">
        <w:rPr>
          <w:rStyle w:val="normaltextrun"/>
          <w:sz w:val="18"/>
          <w:szCs w:val="18"/>
          <w:lang w:val="fr-FR"/>
        </w:rPr>
        <w:t xml:space="preserve"> et </w:t>
      </w:r>
      <w:r w:rsidR="00F63F83">
        <w:fldChar w:fldCharType="begin"/>
      </w:r>
      <w:r w:rsidR="00F63F83" w:rsidRPr="00F63F83">
        <w:rPr>
          <w:lang w:val="fr-FR"/>
        </w:rPr>
        <w:instrText xml:space="preserve"> HYPERLINK "http://www.youtube.com/congatecAE" \t "_blank" </w:instrText>
      </w:r>
      <w:r w:rsidR="00F63F83">
        <w:fldChar w:fldCharType="separate"/>
      </w:r>
      <w:r w:rsidRPr="00F63F83">
        <w:rPr>
          <w:rStyle w:val="normaltextrun"/>
          <w:color w:val="0000FF"/>
          <w:sz w:val="18"/>
          <w:szCs w:val="18"/>
          <w:u w:val="single"/>
          <w:lang w:val="fr-FR"/>
        </w:rPr>
        <w:t>YouTube</w:t>
      </w:r>
      <w:r w:rsidR="00F63F83">
        <w:rPr>
          <w:rStyle w:val="normaltextrun"/>
          <w:color w:val="0000FF"/>
          <w:sz w:val="18"/>
          <w:szCs w:val="18"/>
          <w:u w:val="single"/>
        </w:rPr>
        <w:fldChar w:fldCharType="end"/>
      </w:r>
    </w:p>
    <w:p w14:paraId="553302B5" w14:textId="77777777" w:rsidR="005D2C30" w:rsidRPr="00F63F83" w:rsidRDefault="005D2C30" w:rsidP="005D2C30">
      <w:pPr>
        <w:pStyle w:val="xxstandard1"/>
        <w:rPr>
          <w:lang w:val="fr-FR"/>
        </w:rPr>
      </w:pPr>
    </w:p>
    <w:p w14:paraId="20FBAF66" w14:textId="77777777" w:rsidR="005D2C30" w:rsidRPr="003F7B43" w:rsidRDefault="005D2C30" w:rsidP="005D2C30">
      <w:pPr>
        <w:pStyle w:val="Standard1"/>
        <w:rPr>
          <w:rFonts w:ascii="Arial" w:hAnsi="Arial" w:cs="Arial"/>
          <w:i/>
          <w:noProof/>
          <w:sz w:val="16"/>
          <w:szCs w:val="16"/>
          <w:lang w:val="es-ES" w:eastAsia="de-DE"/>
        </w:rPr>
      </w:pPr>
      <w:proofErr w:type="spellStart"/>
      <w:r w:rsidRPr="003F7B43">
        <w:rPr>
          <w:rFonts w:ascii="Arial" w:eastAsia="Times New Roman" w:hAnsi="Arial" w:cs="Arial"/>
          <w:sz w:val="16"/>
          <w:szCs w:val="16"/>
          <w:lang w:val="es-ES"/>
        </w:rPr>
        <w:t>Texte</w:t>
      </w:r>
      <w:proofErr w:type="spellEnd"/>
      <w:r w:rsidRPr="003F7B43">
        <w:rPr>
          <w:rFonts w:ascii="Arial" w:eastAsia="Times New Roman" w:hAnsi="Arial" w:cs="Arial"/>
          <w:sz w:val="16"/>
          <w:szCs w:val="16"/>
          <w:lang w:val="es-ES"/>
        </w:rPr>
        <w:t xml:space="preserve"> et </w:t>
      </w:r>
      <w:proofErr w:type="spellStart"/>
      <w:r w:rsidRPr="003F7B43">
        <w:rPr>
          <w:rFonts w:ascii="Arial" w:eastAsia="Times New Roman" w:hAnsi="Arial" w:cs="Arial"/>
          <w:sz w:val="16"/>
          <w:szCs w:val="16"/>
          <w:lang w:val="es-ES"/>
        </w:rPr>
        <w:t>photo</w:t>
      </w:r>
      <w:proofErr w:type="spellEnd"/>
      <w:r w:rsidRPr="003F7B43">
        <w:rPr>
          <w:rFonts w:ascii="Arial" w:eastAsia="Times New Roman" w:hAnsi="Arial" w:cs="Arial"/>
          <w:sz w:val="16"/>
          <w:szCs w:val="16"/>
          <w:lang w:val="es-ES"/>
        </w:rPr>
        <w:t xml:space="preserve"> disponibles </w:t>
      </w:r>
      <w:proofErr w:type="gramStart"/>
      <w:r w:rsidRPr="003F7B43">
        <w:rPr>
          <w:rFonts w:ascii="Arial" w:eastAsia="Times New Roman" w:hAnsi="Arial" w:cs="Arial"/>
          <w:sz w:val="16"/>
          <w:szCs w:val="16"/>
          <w:lang w:val="es-ES"/>
        </w:rPr>
        <w:t>sur :</w:t>
      </w:r>
      <w:proofErr w:type="gramEnd"/>
      <w:r w:rsidRPr="003F7B43">
        <w:rPr>
          <w:rFonts w:ascii="Arial" w:eastAsia="Times New Roman" w:hAnsi="Arial" w:cs="Arial"/>
          <w:sz w:val="16"/>
          <w:szCs w:val="16"/>
          <w:lang w:val="es-ES"/>
        </w:rPr>
        <w:t xml:space="preserve"> </w:t>
      </w:r>
      <w:hyperlink r:id="rId13" w:history="1">
        <w:r w:rsidRPr="003F7B43">
          <w:rPr>
            <w:rStyle w:val="Hyperlink"/>
            <w:rFonts w:ascii="Arial" w:eastAsia="Times New Roman" w:hAnsi="Arial" w:cs="Arial"/>
            <w:sz w:val="16"/>
            <w:szCs w:val="16"/>
            <w:lang w:val="es-ES"/>
          </w:rPr>
          <w:t>https://www.congatec.com/fr/congatec/communiques-de-presse.html</w:t>
        </w:r>
      </w:hyperlink>
      <w:r w:rsidRPr="003F7B43">
        <w:rPr>
          <w:rFonts w:ascii="Arial" w:eastAsia="Times New Roman" w:hAnsi="Arial" w:cs="Arial"/>
          <w:sz w:val="16"/>
          <w:szCs w:val="16"/>
          <w:lang w:val="es-ES"/>
        </w:rPr>
        <w:t xml:space="preserve"> </w:t>
      </w:r>
    </w:p>
    <w:p w14:paraId="7284A721" w14:textId="77777777" w:rsidR="005D2C30" w:rsidRPr="003F7B43" w:rsidRDefault="005D2C30" w:rsidP="005D2C30">
      <w:pPr>
        <w:pStyle w:val="Standard1"/>
        <w:rPr>
          <w:rFonts w:ascii="Arial" w:hAnsi="Arial" w:cs="Arial"/>
          <w:sz w:val="16"/>
          <w:szCs w:val="16"/>
          <w:lang w:val="es-ES"/>
        </w:rPr>
      </w:pPr>
    </w:p>
    <w:p w14:paraId="660C9D57" w14:textId="77777777" w:rsidR="005D2C30" w:rsidRPr="003F7B43" w:rsidRDefault="005D2C30" w:rsidP="005D2C30">
      <w:pPr>
        <w:pStyle w:val="Standard1"/>
        <w:rPr>
          <w:rFonts w:ascii="Arial" w:eastAsia="Times New Roman" w:hAnsi="Arial" w:cs="Arial"/>
          <w:i/>
          <w:iCs/>
          <w:sz w:val="16"/>
          <w:szCs w:val="16"/>
          <w:lang w:val="es-ES"/>
        </w:rPr>
      </w:pPr>
      <w:r w:rsidRPr="003F7B43">
        <w:rPr>
          <w:rFonts w:ascii="Arial" w:eastAsia="Times New Roman" w:hAnsi="Arial" w:cs="Arial"/>
          <w:i/>
          <w:iCs/>
          <w:sz w:val="16"/>
          <w:szCs w:val="16"/>
          <w:lang w:val="es-ES"/>
        </w:rPr>
        <w:t xml:space="preserve">Intel, le logo Intel et les </w:t>
      </w:r>
      <w:proofErr w:type="spellStart"/>
      <w:r w:rsidRPr="003F7B43">
        <w:rPr>
          <w:rFonts w:ascii="Arial" w:eastAsia="Times New Roman" w:hAnsi="Arial" w:cs="Arial"/>
          <w:i/>
          <w:iCs/>
          <w:sz w:val="16"/>
          <w:szCs w:val="16"/>
          <w:lang w:val="es-ES"/>
        </w:rPr>
        <w:t>autres</w:t>
      </w:r>
      <w:proofErr w:type="spellEnd"/>
      <w:r w:rsidRPr="003F7B43">
        <w:rPr>
          <w:rFonts w:ascii="Arial" w:eastAsia="Times New Roman" w:hAnsi="Arial" w:cs="Arial"/>
          <w:i/>
          <w:iCs/>
          <w:sz w:val="16"/>
          <w:szCs w:val="16"/>
          <w:lang w:val="es-ES"/>
        </w:rPr>
        <w:t xml:space="preserve"> marques Intel </w:t>
      </w:r>
      <w:proofErr w:type="spellStart"/>
      <w:r w:rsidRPr="003F7B43">
        <w:rPr>
          <w:rFonts w:ascii="Arial" w:eastAsia="Times New Roman" w:hAnsi="Arial" w:cs="Arial"/>
          <w:i/>
          <w:iCs/>
          <w:sz w:val="16"/>
          <w:szCs w:val="16"/>
          <w:lang w:val="es-ES"/>
        </w:rPr>
        <w:t>sont</w:t>
      </w:r>
      <w:proofErr w:type="spellEnd"/>
      <w:r w:rsidRPr="003F7B43">
        <w:rPr>
          <w:rFonts w:ascii="Arial" w:eastAsia="Times New Roman" w:hAnsi="Arial" w:cs="Arial"/>
          <w:i/>
          <w:iCs/>
          <w:sz w:val="16"/>
          <w:szCs w:val="16"/>
          <w:lang w:val="es-ES"/>
        </w:rPr>
        <w:t xml:space="preserve"> </w:t>
      </w:r>
      <w:proofErr w:type="gramStart"/>
      <w:r w:rsidRPr="003F7B43">
        <w:rPr>
          <w:rFonts w:ascii="Arial" w:eastAsia="Times New Roman" w:hAnsi="Arial" w:cs="Arial"/>
          <w:i/>
          <w:iCs/>
          <w:sz w:val="16"/>
          <w:szCs w:val="16"/>
          <w:lang w:val="es-ES"/>
        </w:rPr>
        <w:t>des marques</w:t>
      </w:r>
      <w:proofErr w:type="gramEnd"/>
      <w:r w:rsidRPr="003F7B43">
        <w:rPr>
          <w:rFonts w:ascii="Arial" w:eastAsia="Times New Roman" w:hAnsi="Arial" w:cs="Arial"/>
          <w:i/>
          <w:iCs/>
          <w:sz w:val="16"/>
          <w:szCs w:val="16"/>
          <w:lang w:val="es-ES"/>
        </w:rPr>
        <w:t xml:space="preserve"> </w:t>
      </w:r>
      <w:proofErr w:type="spellStart"/>
      <w:r w:rsidRPr="003F7B43">
        <w:rPr>
          <w:rFonts w:ascii="Arial" w:eastAsia="Times New Roman" w:hAnsi="Arial" w:cs="Arial"/>
          <w:i/>
          <w:iCs/>
          <w:sz w:val="16"/>
          <w:szCs w:val="16"/>
          <w:lang w:val="es-ES"/>
        </w:rPr>
        <w:t>commerciales</w:t>
      </w:r>
      <w:proofErr w:type="spellEnd"/>
      <w:r w:rsidRPr="003F7B43">
        <w:rPr>
          <w:rFonts w:ascii="Arial" w:eastAsia="Times New Roman" w:hAnsi="Arial" w:cs="Arial"/>
          <w:i/>
          <w:iCs/>
          <w:sz w:val="16"/>
          <w:szCs w:val="16"/>
          <w:lang w:val="es-ES"/>
        </w:rPr>
        <w:t xml:space="preserve"> </w:t>
      </w:r>
      <w:proofErr w:type="spellStart"/>
      <w:r w:rsidRPr="003F7B43">
        <w:rPr>
          <w:rFonts w:ascii="Arial" w:eastAsia="Times New Roman" w:hAnsi="Arial" w:cs="Arial"/>
          <w:i/>
          <w:iCs/>
          <w:sz w:val="16"/>
          <w:szCs w:val="16"/>
          <w:lang w:val="es-ES"/>
        </w:rPr>
        <w:t>d'Intel</w:t>
      </w:r>
      <w:proofErr w:type="spellEnd"/>
      <w:r w:rsidRPr="003F7B43">
        <w:rPr>
          <w:rFonts w:ascii="Arial" w:eastAsia="Times New Roman" w:hAnsi="Arial" w:cs="Arial"/>
          <w:i/>
          <w:iCs/>
          <w:sz w:val="16"/>
          <w:szCs w:val="16"/>
          <w:lang w:val="es-ES"/>
        </w:rPr>
        <w:t xml:space="preserve"> </w:t>
      </w:r>
      <w:proofErr w:type="spellStart"/>
      <w:r w:rsidRPr="003F7B43">
        <w:rPr>
          <w:rFonts w:ascii="Arial" w:eastAsia="Times New Roman" w:hAnsi="Arial" w:cs="Arial"/>
          <w:i/>
          <w:iCs/>
          <w:sz w:val="16"/>
          <w:szCs w:val="16"/>
          <w:lang w:val="es-ES"/>
        </w:rPr>
        <w:t>Corporation</w:t>
      </w:r>
      <w:proofErr w:type="spellEnd"/>
      <w:r w:rsidRPr="003F7B43">
        <w:rPr>
          <w:rFonts w:ascii="Arial" w:eastAsia="Times New Roman" w:hAnsi="Arial" w:cs="Arial"/>
          <w:i/>
          <w:iCs/>
          <w:sz w:val="16"/>
          <w:szCs w:val="16"/>
          <w:lang w:val="es-ES"/>
        </w:rPr>
        <w:t xml:space="preserve"> </w:t>
      </w:r>
      <w:proofErr w:type="spellStart"/>
      <w:r w:rsidRPr="003F7B43">
        <w:rPr>
          <w:rFonts w:ascii="Arial" w:eastAsia="Times New Roman" w:hAnsi="Arial" w:cs="Arial"/>
          <w:i/>
          <w:iCs/>
          <w:sz w:val="16"/>
          <w:szCs w:val="16"/>
          <w:lang w:val="es-ES"/>
        </w:rPr>
        <w:t>ou</w:t>
      </w:r>
      <w:proofErr w:type="spellEnd"/>
      <w:r w:rsidRPr="003F7B43">
        <w:rPr>
          <w:rFonts w:ascii="Arial" w:eastAsia="Times New Roman" w:hAnsi="Arial" w:cs="Arial"/>
          <w:i/>
          <w:iCs/>
          <w:sz w:val="16"/>
          <w:szCs w:val="16"/>
          <w:lang w:val="es-ES"/>
        </w:rPr>
        <w:t xml:space="preserve"> de </w:t>
      </w:r>
      <w:proofErr w:type="spellStart"/>
      <w:r w:rsidRPr="003F7B43">
        <w:rPr>
          <w:rFonts w:ascii="Arial" w:eastAsia="Times New Roman" w:hAnsi="Arial" w:cs="Arial"/>
          <w:i/>
          <w:iCs/>
          <w:sz w:val="16"/>
          <w:szCs w:val="16"/>
          <w:lang w:val="es-ES"/>
        </w:rPr>
        <w:t>ses</w:t>
      </w:r>
      <w:proofErr w:type="spellEnd"/>
      <w:r w:rsidRPr="003F7B43">
        <w:rPr>
          <w:rFonts w:ascii="Arial" w:eastAsia="Times New Roman" w:hAnsi="Arial" w:cs="Arial"/>
          <w:i/>
          <w:iCs/>
          <w:sz w:val="16"/>
          <w:szCs w:val="16"/>
          <w:lang w:val="es-ES"/>
        </w:rPr>
        <w:t xml:space="preserve"> filiales.</w:t>
      </w:r>
    </w:p>
    <w:p w14:paraId="0CFCF24B" w14:textId="77777777" w:rsidR="005D2C30" w:rsidRPr="003F7B43" w:rsidRDefault="005D2C30" w:rsidP="005D2C30">
      <w:pPr>
        <w:pStyle w:val="Standard1"/>
        <w:rPr>
          <w:rFonts w:ascii="Arial" w:hAnsi="Arial" w:cs="Arial"/>
          <w:sz w:val="16"/>
          <w:szCs w:val="16"/>
          <w:lang w:val="es-ES"/>
        </w:rPr>
      </w:pPr>
    </w:p>
    <w:p w14:paraId="7CBEFF26" w14:textId="77777777" w:rsidR="005D2C30" w:rsidRPr="00F63F83" w:rsidRDefault="005D2C30" w:rsidP="005D2C30">
      <w:pPr>
        <w:pStyle w:val="Standard1"/>
        <w:snapToGrid w:val="0"/>
        <w:spacing w:line="240" w:lineRule="auto"/>
        <w:rPr>
          <w:rFonts w:ascii="Arial" w:hAnsi="Arial" w:cs="Arial"/>
          <w:b/>
          <w:sz w:val="22"/>
          <w:szCs w:val="22"/>
          <w:lang w:val="fr-FR"/>
        </w:rPr>
      </w:pPr>
      <w:r w:rsidRPr="00F63F83">
        <w:rPr>
          <w:rFonts w:ascii="Arial" w:hAnsi="Arial" w:cs="Arial"/>
          <w:b/>
          <w:sz w:val="22"/>
          <w:szCs w:val="22"/>
          <w:lang w:val="fr-FR"/>
        </w:rPr>
        <w:t>Contact pour les lecteurs:</w:t>
      </w:r>
    </w:p>
    <w:p w14:paraId="464F5AED" w14:textId="77777777" w:rsidR="005D2C30" w:rsidRPr="00F63F83" w:rsidRDefault="005D2C30" w:rsidP="005D2C30">
      <w:pPr>
        <w:pStyle w:val="Standard1"/>
        <w:snapToGrid w:val="0"/>
        <w:spacing w:line="240" w:lineRule="auto"/>
        <w:rPr>
          <w:rFonts w:ascii="Arial" w:hAnsi="Arial" w:cs="Arial"/>
          <w:sz w:val="22"/>
          <w:szCs w:val="22"/>
          <w:u w:val="single"/>
          <w:lang w:val="fr-FR"/>
        </w:rPr>
      </w:pPr>
      <w:r w:rsidRPr="00F63F83">
        <w:rPr>
          <w:rFonts w:ascii="Arial" w:hAnsi="Arial" w:cs="Arial"/>
          <w:sz w:val="22"/>
          <w:szCs w:val="22"/>
          <w:lang w:val="fr-FR"/>
        </w:rPr>
        <w:t>congatec</w:t>
      </w:r>
    </w:p>
    <w:p w14:paraId="6D601554" w14:textId="77777777" w:rsidR="005D2C30" w:rsidRPr="00F63F83" w:rsidRDefault="005D2C30" w:rsidP="005D2C30">
      <w:pPr>
        <w:pStyle w:val="Standard1"/>
        <w:snapToGrid w:val="0"/>
        <w:spacing w:line="240" w:lineRule="auto"/>
        <w:rPr>
          <w:rFonts w:ascii="Arial" w:hAnsi="Arial" w:cs="Arial"/>
          <w:b/>
          <w:sz w:val="22"/>
          <w:szCs w:val="22"/>
          <w:u w:val="single"/>
          <w:lang w:val="fr-FR"/>
        </w:rPr>
      </w:pPr>
      <w:r w:rsidRPr="00F63F83">
        <w:rPr>
          <w:rFonts w:ascii="Arial" w:hAnsi="Arial" w:cs="Arial"/>
          <w:sz w:val="22"/>
          <w:szCs w:val="22"/>
          <w:lang w:val="fr-FR"/>
        </w:rPr>
        <w:t>Telefon: +49-991-2700-0</w:t>
      </w:r>
    </w:p>
    <w:p w14:paraId="1A1F328D" w14:textId="77777777" w:rsidR="005D2C30" w:rsidRPr="00F63F83" w:rsidRDefault="005D2C30" w:rsidP="005D2C30">
      <w:pPr>
        <w:pStyle w:val="Standard1"/>
        <w:snapToGrid w:val="0"/>
        <w:spacing w:line="240" w:lineRule="auto"/>
        <w:rPr>
          <w:rStyle w:val="Hyperlink"/>
          <w:rFonts w:ascii="Arial" w:hAnsi="Arial" w:cs="Arial"/>
          <w:sz w:val="22"/>
          <w:szCs w:val="22"/>
          <w:lang w:val="fr-FR"/>
        </w:rPr>
      </w:pPr>
      <w:r w:rsidRPr="00F63F83">
        <w:rPr>
          <w:rStyle w:val="Hyperlink"/>
          <w:rFonts w:ascii="Arial" w:hAnsi="Arial" w:cs="Arial"/>
          <w:sz w:val="22"/>
          <w:szCs w:val="22"/>
          <w:lang w:val="fr-FR"/>
        </w:rPr>
        <w:t xml:space="preserve">info@congatec.com </w:t>
      </w:r>
    </w:p>
    <w:p w14:paraId="39E30897" w14:textId="77777777" w:rsidR="005D2C30" w:rsidRPr="00F63F83" w:rsidRDefault="00F63F83" w:rsidP="005D2C30">
      <w:pPr>
        <w:pStyle w:val="Standard1"/>
        <w:spacing w:line="240" w:lineRule="auto"/>
        <w:rPr>
          <w:rStyle w:val="Hyperlink"/>
          <w:rFonts w:ascii="Arial" w:hAnsi="Arial" w:cs="Arial"/>
          <w:sz w:val="22"/>
          <w:szCs w:val="22"/>
          <w:lang w:val="fr-FR"/>
        </w:rPr>
      </w:pPr>
      <w:r>
        <w:fldChar w:fldCharType="begin"/>
      </w:r>
      <w:r w:rsidRPr="00F63F83">
        <w:rPr>
          <w:lang w:val="fr-FR"/>
        </w:rPr>
        <w:instrText xml:space="preserve"> HYPERLINK "http://www.congatec.com" </w:instrText>
      </w:r>
      <w:r>
        <w:fldChar w:fldCharType="separate"/>
      </w:r>
      <w:r w:rsidR="005D2C30" w:rsidRPr="00F63F83">
        <w:rPr>
          <w:rStyle w:val="Hyperlink"/>
          <w:rFonts w:ascii="Arial" w:hAnsi="Arial" w:cs="Arial"/>
          <w:sz w:val="22"/>
          <w:szCs w:val="22"/>
          <w:lang w:val="fr-FR"/>
        </w:rPr>
        <w:t>www.congatec.com</w:t>
      </w:r>
      <w:r>
        <w:rPr>
          <w:rStyle w:val="Hyperlink"/>
          <w:rFonts w:ascii="Arial" w:hAnsi="Arial" w:cs="Arial"/>
          <w:sz w:val="22"/>
          <w:szCs w:val="22"/>
        </w:rPr>
        <w:fldChar w:fldCharType="end"/>
      </w:r>
    </w:p>
    <w:p w14:paraId="55CD59A1" w14:textId="77777777" w:rsidR="005D2C30" w:rsidRPr="00F63F83" w:rsidRDefault="005D2C30" w:rsidP="005D2C30">
      <w:pPr>
        <w:pStyle w:val="Standard1"/>
        <w:snapToGrid w:val="0"/>
        <w:spacing w:line="240" w:lineRule="auto"/>
        <w:rPr>
          <w:rFonts w:ascii="Arial" w:hAnsi="Arial" w:cs="Arial"/>
          <w:b/>
          <w:sz w:val="22"/>
          <w:szCs w:val="22"/>
          <w:lang w:val="fr-FR"/>
        </w:rPr>
      </w:pPr>
    </w:p>
    <w:p w14:paraId="41F447FC" w14:textId="77777777" w:rsidR="005D2C30" w:rsidRPr="00F63F83" w:rsidRDefault="005D2C30" w:rsidP="005D2C30">
      <w:pPr>
        <w:pStyle w:val="Standard1"/>
        <w:snapToGrid w:val="0"/>
        <w:spacing w:line="240" w:lineRule="auto"/>
        <w:rPr>
          <w:rFonts w:ascii="Arial" w:hAnsi="Arial" w:cs="Arial"/>
          <w:b/>
          <w:sz w:val="22"/>
          <w:szCs w:val="22"/>
          <w:lang w:val="fr-FR"/>
        </w:rPr>
      </w:pPr>
      <w:r w:rsidRPr="00F63F83">
        <w:rPr>
          <w:rFonts w:ascii="Arial" w:hAnsi="Arial" w:cs="Arial"/>
          <w:b/>
          <w:sz w:val="22"/>
          <w:szCs w:val="22"/>
          <w:lang w:val="fr-FR"/>
        </w:rPr>
        <w:t>Contact pour la presse congatec:</w:t>
      </w:r>
    </w:p>
    <w:p w14:paraId="537A67DC" w14:textId="77777777" w:rsidR="005D2C30" w:rsidRPr="003F7B43" w:rsidRDefault="005D2C30" w:rsidP="005D2C30">
      <w:pPr>
        <w:pStyle w:val="Standard1"/>
        <w:snapToGrid w:val="0"/>
        <w:spacing w:line="240" w:lineRule="auto"/>
        <w:rPr>
          <w:rFonts w:ascii="Arial" w:hAnsi="Arial" w:cs="Arial"/>
          <w:sz w:val="22"/>
          <w:szCs w:val="22"/>
          <w:u w:val="single"/>
        </w:rPr>
      </w:pPr>
      <w:r w:rsidRPr="003F7B43">
        <w:rPr>
          <w:rFonts w:ascii="Arial" w:hAnsi="Arial" w:cs="Arial"/>
          <w:sz w:val="22"/>
          <w:szCs w:val="22"/>
        </w:rPr>
        <w:t>congatec</w:t>
      </w:r>
    </w:p>
    <w:p w14:paraId="19EF508B" w14:textId="77777777" w:rsidR="005D2C30" w:rsidRPr="003F7B43" w:rsidRDefault="005D2C30" w:rsidP="005D2C30">
      <w:pPr>
        <w:pStyle w:val="Standard1"/>
        <w:snapToGrid w:val="0"/>
        <w:spacing w:line="240" w:lineRule="auto"/>
        <w:rPr>
          <w:rFonts w:ascii="Arial" w:hAnsi="Arial" w:cs="Arial"/>
          <w:b/>
          <w:sz w:val="22"/>
          <w:szCs w:val="22"/>
          <w:u w:val="single"/>
        </w:rPr>
      </w:pPr>
      <w:r w:rsidRPr="003F7B43">
        <w:rPr>
          <w:rFonts w:ascii="Arial" w:hAnsi="Arial" w:cs="Arial"/>
          <w:sz w:val="22"/>
          <w:szCs w:val="22"/>
        </w:rPr>
        <w:t>Christof Wilde</w:t>
      </w:r>
    </w:p>
    <w:p w14:paraId="0CF1B460" w14:textId="77777777" w:rsidR="005D2C30" w:rsidRPr="003F7B43" w:rsidRDefault="005D2C30" w:rsidP="005D2C30">
      <w:pPr>
        <w:pStyle w:val="Standard1"/>
        <w:snapToGrid w:val="0"/>
        <w:spacing w:line="240" w:lineRule="auto"/>
        <w:rPr>
          <w:rFonts w:ascii="Arial" w:hAnsi="Arial" w:cs="Arial"/>
          <w:b/>
          <w:sz w:val="22"/>
          <w:szCs w:val="22"/>
          <w:u w:val="single"/>
        </w:rPr>
      </w:pPr>
      <w:proofErr w:type="spellStart"/>
      <w:r w:rsidRPr="003F7B43">
        <w:rPr>
          <w:rFonts w:ascii="Arial" w:hAnsi="Arial" w:cs="Arial"/>
          <w:sz w:val="22"/>
          <w:szCs w:val="22"/>
        </w:rPr>
        <w:t>Telefon</w:t>
      </w:r>
      <w:proofErr w:type="spellEnd"/>
      <w:r w:rsidRPr="003F7B43">
        <w:rPr>
          <w:rFonts w:ascii="Arial" w:hAnsi="Arial" w:cs="Arial"/>
          <w:sz w:val="22"/>
          <w:szCs w:val="22"/>
        </w:rPr>
        <w:t>: +49-991-2700-2822</w:t>
      </w:r>
    </w:p>
    <w:p w14:paraId="2FA16C1E" w14:textId="77777777" w:rsidR="005D2C30" w:rsidRPr="003F7B43" w:rsidRDefault="005D2C30" w:rsidP="005D2C30">
      <w:pPr>
        <w:pStyle w:val="Standard1"/>
        <w:snapToGrid w:val="0"/>
        <w:spacing w:line="240" w:lineRule="auto"/>
        <w:rPr>
          <w:rStyle w:val="Hyperlink"/>
          <w:rFonts w:ascii="Arial" w:hAnsi="Arial" w:cs="Arial"/>
          <w:sz w:val="22"/>
          <w:szCs w:val="22"/>
        </w:rPr>
      </w:pPr>
      <w:r w:rsidRPr="003F7B43">
        <w:rPr>
          <w:rStyle w:val="Hyperlink"/>
          <w:rFonts w:ascii="Arial" w:hAnsi="Arial" w:cs="Arial"/>
          <w:sz w:val="22"/>
          <w:szCs w:val="22"/>
        </w:rPr>
        <w:t xml:space="preserve">christof.wilde@congatec.com </w:t>
      </w:r>
    </w:p>
    <w:p w14:paraId="5EBD78F0" w14:textId="77777777" w:rsidR="005D2C30" w:rsidRPr="003F7B43" w:rsidRDefault="005D2C30" w:rsidP="005D2C30">
      <w:pPr>
        <w:pStyle w:val="Standard1"/>
        <w:snapToGrid w:val="0"/>
        <w:spacing w:line="240" w:lineRule="auto"/>
        <w:rPr>
          <w:rStyle w:val="Hyperlink"/>
          <w:rFonts w:ascii="Arial" w:hAnsi="Arial" w:cs="Arial"/>
          <w:sz w:val="22"/>
          <w:szCs w:val="22"/>
        </w:rPr>
      </w:pPr>
    </w:p>
    <w:p w14:paraId="25D57850" w14:textId="77777777" w:rsidR="005D2C30" w:rsidRPr="00F63F83" w:rsidRDefault="005D2C30" w:rsidP="005D2C30">
      <w:pPr>
        <w:pStyle w:val="Standard1"/>
        <w:snapToGrid w:val="0"/>
        <w:spacing w:line="240" w:lineRule="auto"/>
        <w:rPr>
          <w:rFonts w:ascii="Arial" w:hAnsi="Arial" w:cs="Arial"/>
          <w:b/>
          <w:sz w:val="22"/>
          <w:szCs w:val="22"/>
          <w:lang w:val="fr-FR"/>
        </w:rPr>
      </w:pPr>
      <w:r w:rsidRPr="00F63F83">
        <w:rPr>
          <w:rFonts w:ascii="Arial" w:hAnsi="Arial" w:cs="Arial"/>
          <w:b/>
          <w:sz w:val="22"/>
          <w:szCs w:val="22"/>
          <w:lang w:val="fr-FR"/>
        </w:rPr>
        <w:t>Contact pour la presse Agence:</w:t>
      </w:r>
    </w:p>
    <w:p w14:paraId="097568D6" w14:textId="77777777" w:rsidR="005D2C30" w:rsidRPr="003F7B43" w:rsidRDefault="005D2C30" w:rsidP="005D2C30">
      <w:pPr>
        <w:spacing w:line="240" w:lineRule="auto"/>
        <w:rPr>
          <w:lang w:val="de-DE"/>
        </w:rPr>
      </w:pPr>
      <w:r w:rsidRPr="003F7B43">
        <w:rPr>
          <w:color w:val="000000"/>
          <w:lang w:val="de-DE"/>
        </w:rPr>
        <w:t>Publitek GmbH</w:t>
      </w:r>
    </w:p>
    <w:p w14:paraId="78439010" w14:textId="77777777" w:rsidR="005D2C30" w:rsidRPr="003F7B43" w:rsidRDefault="005D2C30" w:rsidP="005D2C30">
      <w:pPr>
        <w:spacing w:line="240" w:lineRule="auto"/>
        <w:rPr>
          <w:lang w:val="de-DE"/>
        </w:rPr>
      </w:pPr>
      <w:r w:rsidRPr="003F7B43">
        <w:rPr>
          <w:color w:val="000000"/>
          <w:lang w:val="de-DE"/>
        </w:rPr>
        <w:t>Julia Wolff</w:t>
      </w:r>
    </w:p>
    <w:p w14:paraId="52FAAA1A" w14:textId="77777777" w:rsidR="005D2C30" w:rsidRPr="003F7B43" w:rsidRDefault="005D2C30" w:rsidP="005D2C30">
      <w:pPr>
        <w:spacing w:line="240" w:lineRule="auto"/>
        <w:rPr>
          <w:lang w:val="de-DE"/>
        </w:rPr>
      </w:pPr>
      <w:r w:rsidRPr="003F7B43">
        <w:rPr>
          <w:color w:val="000000"/>
          <w:lang w:val="de-DE"/>
        </w:rPr>
        <w:lastRenderedPageBreak/>
        <w:t>+49 (0)4181 968098-18</w:t>
      </w:r>
    </w:p>
    <w:p w14:paraId="755C7DAF" w14:textId="52CBB303" w:rsidR="005D2C30" w:rsidRDefault="00F63F83" w:rsidP="005D2C30">
      <w:pPr>
        <w:spacing w:line="240" w:lineRule="auto"/>
        <w:rPr>
          <w:color w:val="000000"/>
          <w:lang w:val="de-DE"/>
        </w:rPr>
      </w:pPr>
      <w:r>
        <w:fldChar w:fldCharType="begin"/>
      </w:r>
      <w:r w:rsidRPr="00F63F83">
        <w:rPr>
          <w:lang w:val="de-DE"/>
        </w:rPr>
        <w:instrText xml:space="preserve"> HYPERLINK "mailto:julia.wolff@publitek.com" </w:instrText>
      </w:r>
      <w:r>
        <w:fldChar w:fldCharType="separate"/>
      </w:r>
      <w:r w:rsidR="00A12873" w:rsidRPr="00185FE2">
        <w:rPr>
          <w:rStyle w:val="Hyperlink"/>
          <w:lang w:val="de-DE"/>
        </w:rPr>
        <w:t>julia.wolff@publitek.com</w:t>
      </w:r>
      <w:r>
        <w:rPr>
          <w:rStyle w:val="Hyperlink"/>
          <w:lang w:val="de-DE"/>
        </w:rPr>
        <w:fldChar w:fldCharType="end"/>
      </w:r>
    </w:p>
    <w:p w14:paraId="784EA565" w14:textId="77777777" w:rsidR="005D2C30" w:rsidRPr="003F7B43" w:rsidRDefault="005D2C30" w:rsidP="005D2C30">
      <w:pPr>
        <w:spacing w:line="240" w:lineRule="auto"/>
        <w:rPr>
          <w:lang w:val="de-DE"/>
        </w:rPr>
      </w:pPr>
      <w:r w:rsidRPr="003F7B43">
        <w:rPr>
          <w:color w:val="000000"/>
          <w:lang w:val="de-DE"/>
        </w:rPr>
        <w:t>Bremer Straße 6</w:t>
      </w:r>
    </w:p>
    <w:p w14:paraId="7C2C1996" w14:textId="77777777" w:rsidR="005D2C30" w:rsidRPr="003F7B43" w:rsidRDefault="005D2C30" w:rsidP="005D2C30">
      <w:pPr>
        <w:spacing w:line="240" w:lineRule="auto"/>
      </w:pPr>
      <w:r w:rsidRPr="003F7B43">
        <w:rPr>
          <w:color w:val="000000"/>
        </w:rPr>
        <w:t>21244 Buchholz</w:t>
      </w:r>
    </w:p>
    <w:p w14:paraId="42DE801C" w14:textId="77777777" w:rsidR="005D2C30" w:rsidRPr="003F7B43" w:rsidRDefault="005D2C30" w:rsidP="005D2C30">
      <w:pPr>
        <w:spacing w:line="240" w:lineRule="auto"/>
        <w:rPr>
          <w:b/>
          <w:bCs/>
        </w:rPr>
      </w:pPr>
    </w:p>
    <w:p w14:paraId="6CE58C4F" w14:textId="77777777" w:rsidR="005D2C30" w:rsidRPr="00F63F83" w:rsidRDefault="005D2C30" w:rsidP="005D2C30">
      <w:pPr>
        <w:spacing w:line="240" w:lineRule="auto"/>
        <w:rPr>
          <w:b/>
          <w:bCs/>
          <w:lang w:val="fr-FR"/>
        </w:rPr>
      </w:pPr>
      <w:r w:rsidRPr="00F63F83">
        <w:rPr>
          <w:b/>
          <w:bCs/>
          <w:lang w:val="fr-FR"/>
        </w:rPr>
        <w:t>Veuillez envoyer les livrets justificatifs à :</w:t>
      </w:r>
    </w:p>
    <w:p w14:paraId="3D44A03F" w14:textId="77777777" w:rsidR="005D2C30" w:rsidRPr="003F7B43" w:rsidRDefault="005D2C30" w:rsidP="005D2C30">
      <w:pPr>
        <w:spacing w:line="240" w:lineRule="auto"/>
        <w:rPr>
          <w:lang w:val="it-IT"/>
        </w:rPr>
      </w:pPr>
      <w:r w:rsidRPr="003F7B43">
        <w:rPr>
          <w:color w:val="000000"/>
          <w:lang w:val="it-IT"/>
        </w:rPr>
        <w:t>Publitek GmbH</w:t>
      </w:r>
    </w:p>
    <w:p w14:paraId="0CC459F2" w14:textId="77777777" w:rsidR="005D2C30" w:rsidRPr="003F7B43" w:rsidRDefault="005D2C30" w:rsidP="005D2C30">
      <w:pPr>
        <w:spacing w:line="240" w:lineRule="auto"/>
        <w:rPr>
          <w:lang w:val="it-IT"/>
        </w:rPr>
      </w:pPr>
      <w:r w:rsidRPr="003F7B43">
        <w:rPr>
          <w:color w:val="000000"/>
          <w:lang w:val="it-IT"/>
        </w:rPr>
        <w:t>Diana Penzien</w:t>
      </w:r>
    </w:p>
    <w:p w14:paraId="63BB5036" w14:textId="77777777" w:rsidR="005D2C30" w:rsidRPr="003F7B43" w:rsidRDefault="005D2C30" w:rsidP="005D2C30">
      <w:pPr>
        <w:spacing w:line="240" w:lineRule="auto"/>
        <w:rPr>
          <w:lang w:val="it-IT"/>
        </w:rPr>
      </w:pPr>
      <w:r w:rsidRPr="003F7B43">
        <w:rPr>
          <w:color w:val="000000"/>
          <w:lang w:val="it-IT"/>
        </w:rPr>
        <w:t xml:space="preserve">Bremer </w:t>
      </w:r>
      <w:proofErr w:type="spellStart"/>
      <w:r w:rsidRPr="003F7B43">
        <w:rPr>
          <w:color w:val="000000"/>
          <w:lang w:val="it-IT"/>
        </w:rPr>
        <w:t>Straße</w:t>
      </w:r>
      <w:proofErr w:type="spellEnd"/>
      <w:r w:rsidRPr="003F7B43">
        <w:rPr>
          <w:color w:val="000000"/>
          <w:lang w:val="it-IT"/>
        </w:rPr>
        <w:t xml:space="preserve"> 6</w:t>
      </w:r>
    </w:p>
    <w:p w14:paraId="24010368" w14:textId="77777777" w:rsidR="005D2C30" w:rsidRPr="003F7B43" w:rsidRDefault="005D2C30" w:rsidP="005D2C30">
      <w:pPr>
        <w:pStyle w:val="Standard1"/>
        <w:spacing w:line="240" w:lineRule="auto"/>
        <w:rPr>
          <w:rFonts w:ascii="Arial" w:eastAsia="Times New Roman" w:hAnsi="Arial" w:cs="Arial"/>
          <w:sz w:val="16"/>
          <w:szCs w:val="16"/>
          <w:lang w:val="es-ES"/>
        </w:rPr>
      </w:pPr>
      <w:r w:rsidRPr="003F7B43">
        <w:rPr>
          <w:rFonts w:ascii="Arial" w:hAnsi="Arial" w:cs="Arial"/>
          <w:color w:val="000000"/>
        </w:rPr>
        <w:t>21244 Buchholz</w:t>
      </w:r>
    </w:p>
    <w:p w14:paraId="3DAE0367" w14:textId="77777777" w:rsidR="001A459F" w:rsidRPr="003F7B43" w:rsidRDefault="001A459F">
      <w:pPr>
        <w:pBdr>
          <w:top w:val="nil"/>
          <w:left w:val="nil"/>
          <w:bottom w:val="nil"/>
          <w:right w:val="nil"/>
          <w:between w:val="nil"/>
        </w:pBdr>
        <w:spacing w:line="240" w:lineRule="auto"/>
        <w:ind w:right="283"/>
        <w:jc w:val="both"/>
        <w:rPr>
          <w:color w:val="000000"/>
          <w:sz w:val="18"/>
          <w:szCs w:val="18"/>
        </w:rPr>
      </w:pPr>
    </w:p>
    <w:sectPr w:rsidR="001A459F" w:rsidRPr="003F7B43">
      <w:headerReference w:type="default" r:id="rId14"/>
      <w:footerReference w:type="default" r:id="rId1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0D844" w14:textId="77777777" w:rsidR="0002232A" w:rsidRDefault="0002232A">
      <w:pPr>
        <w:spacing w:line="240" w:lineRule="auto"/>
      </w:pPr>
      <w:r>
        <w:separator/>
      </w:r>
    </w:p>
  </w:endnote>
  <w:endnote w:type="continuationSeparator" w:id="0">
    <w:p w14:paraId="50ABC50B" w14:textId="77777777" w:rsidR="0002232A" w:rsidRDefault="00022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107-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4E740" w14:textId="77777777" w:rsidR="00E6340F" w:rsidRDefault="00E6340F">
    <w:pPr>
      <w:pBdr>
        <w:top w:val="nil"/>
        <w:left w:val="nil"/>
        <w:bottom w:val="nil"/>
        <w:right w:val="nil"/>
        <w:between w:val="nil"/>
      </w:pBdr>
      <w:spacing w:line="240" w:lineRule="auto"/>
      <w:ind w:right="283"/>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F4D70" w14:textId="77777777" w:rsidR="0002232A" w:rsidRDefault="0002232A">
      <w:pPr>
        <w:spacing w:line="240" w:lineRule="auto"/>
      </w:pPr>
      <w:r>
        <w:separator/>
      </w:r>
    </w:p>
  </w:footnote>
  <w:footnote w:type="continuationSeparator" w:id="0">
    <w:p w14:paraId="3FDB749A" w14:textId="77777777" w:rsidR="0002232A" w:rsidRDefault="000223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B36A" w14:textId="77777777" w:rsidR="00E6340F" w:rsidRDefault="00E6340F">
    <w:pPr>
      <w:pBdr>
        <w:top w:val="nil"/>
        <w:left w:val="nil"/>
        <w:bottom w:val="nil"/>
        <w:right w:val="nil"/>
        <w:between w:val="nil"/>
      </w:pBdr>
      <w:spacing w:line="240" w:lineRule="auto"/>
      <w:jc w:val="right"/>
      <w:rPr>
        <w:b/>
        <w:color w:val="000000"/>
        <w:u w:val="single"/>
      </w:rPr>
    </w:pPr>
  </w:p>
  <w:p w14:paraId="0C5DA980" w14:textId="77777777" w:rsidR="00E6340F" w:rsidRDefault="00E6340F">
    <w:pPr>
      <w:pBdr>
        <w:top w:val="nil"/>
        <w:left w:val="nil"/>
        <w:bottom w:val="nil"/>
        <w:right w:val="nil"/>
        <w:between w:val="nil"/>
      </w:pBdr>
      <w:spacing w:line="240" w:lineRule="auto"/>
      <w:jc w:val="right"/>
      <w:rPr>
        <w:b/>
        <w:color w:val="000000"/>
        <w:u w:val="single"/>
      </w:rPr>
    </w:pPr>
  </w:p>
  <w:p w14:paraId="003C4BA0" w14:textId="77777777" w:rsidR="00E6340F" w:rsidRDefault="00E6340F">
    <w:pPr>
      <w:pBdr>
        <w:top w:val="nil"/>
        <w:left w:val="nil"/>
        <w:bottom w:val="nil"/>
        <w:right w:val="nil"/>
        <w:between w:val="nil"/>
      </w:pBdr>
      <w:spacing w:line="240" w:lineRule="auto"/>
      <w:jc w:val="right"/>
      <w:rPr>
        <w:b/>
        <w:color w:val="000000"/>
        <w:u w:val="single"/>
      </w:rPr>
    </w:pPr>
  </w:p>
  <w:p w14:paraId="242DEE7A" w14:textId="77777777" w:rsidR="00E6340F" w:rsidRDefault="00E6340F">
    <w:pPr>
      <w:pBdr>
        <w:top w:val="nil"/>
        <w:left w:val="nil"/>
        <w:bottom w:val="nil"/>
        <w:right w:val="nil"/>
        <w:between w:val="nil"/>
      </w:pBdr>
      <w:spacing w:line="240" w:lineRule="auto"/>
      <w:jc w:val="right"/>
      <w:rPr>
        <w:b/>
        <w:color w:val="000000"/>
        <w:u w:val="single"/>
      </w:rPr>
    </w:pPr>
  </w:p>
  <w:p w14:paraId="11227E63" w14:textId="77777777" w:rsidR="00E6340F" w:rsidRDefault="00E6340F">
    <w:pPr>
      <w:pBdr>
        <w:top w:val="nil"/>
        <w:left w:val="nil"/>
        <w:bottom w:val="nil"/>
        <w:right w:val="nil"/>
        <w:between w:val="nil"/>
      </w:pBdr>
      <w:spacing w:line="240" w:lineRule="auto"/>
      <w:jc w:val="right"/>
      <w:rPr>
        <w:b/>
        <w:color w:val="000000"/>
        <w:u w:val="single"/>
      </w:rPr>
    </w:pPr>
  </w:p>
  <w:p w14:paraId="73576970" w14:textId="77777777" w:rsidR="00E6340F" w:rsidRDefault="00E6340F">
    <w:pPr>
      <w:pBdr>
        <w:top w:val="nil"/>
        <w:left w:val="nil"/>
        <w:bottom w:val="nil"/>
        <w:right w:val="nil"/>
        <w:between w:val="nil"/>
      </w:pBdr>
      <w:spacing w:line="240" w:lineRule="auto"/>
      <w:jc w:val="right"/>
      <w:rPr>
        <w:b/>
        <w:color w:val="000000"/>
        <w:u w:val="single"/>
      </w:rPr>
    </w:pPr>
  </w:p>
  <w:p w14:paraId="7B74E6D8" w14:textId="77777777" w:rsidR="00E6340F" w:rsidRDefault="00E6340F">
    <w:pPr>
      <w:pBdr>
        <w:top w:val="nil"/>
        <w:left w:val="nil"/>
        <w:bottom w:val="nil"/>
        <w:right w:val="nil"/>
        <w:between w:val="nil"/>
      </w:pBdr>
      <w:spacing w:line="240" w:lineRule="auto"/>
      <w:jc w:val="right"/>
      <w:rPr>
        <w:b/>
        <w:color w:val="000000"/>
        <w:u w:val="single"/>
      </w:rPr>
    </w:pPr>
  </w:p>
  <w:p w14:paraId="4EC8E1BB" w14:textId="77777777" w:rsidR="00E6340F" w:rsidRDefault="00E6340F">
    <w:pPr>
      <w:pBdr>
        <w:top w:val="nil"/>
        <w:left w:val="nil"/>
        <w:bottom w:val="nil"/>
        <w:right w:val="nil"/>
        <w:between w:val="nil"/>
      </w:pBdr>
      <w:spacing w:line="240" w:lineRule="auto"/>
      <w:jc w:val="right"/>
      <w:rPr>
        <w:b/>
        <w:color w:val="000000"/>
        <w:u w:val="single"/>
      </w:rPr>
    </w:pPr>
  </w:p>
  <w:p w14:paraId="0B88A71E" w14:textId="77777777" w:rsidR="00E6340F" w:rsidRDefault="00E6340F">
    <w:pPr>
      <w:pBdr>
        <w:top w:val="nil"/>
        <w:left w:val="nil"/>
        <w:bottom w:val="nil"/>
        <w:right w:val="nil"/>
        <w:between w:val="nil"/>
      </w:pBdr>
      <w:spacing w:line="240" w:lineRule="auto"/>
      <w:jc w:val="right"/>
      <w:rPr>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0F"/>
    <w:rsid w:val="0002232A"/>
    <w:rsid w:val="000F4087"/>
    <w:rsid w:val="001A459F"/>
    <w:rsid w:val="00210D8A"/>
    <w:rsid w:val="0022610C"/>
    <w:rsid w:val="003E4119"/>
    <w:rsid w:val="003F7B43"/>
    <w:rsid w:val="00424955"/>
    <w:rsid w:val="005D2C30"/>
    <w:rsid w:val="00660ECB"/>
    <w:rsid w:val="00680F09"/>
    <w:rsid w:val="007207D3"/>
    <w:rsid w:val="00857B98"/>
    <w:rsid w:val="00936D5C"/>
    <w:rsid w:val="00A12873"/>
    <w:rsid w:val="00A12D1F"/>
    <w:rsid w:val="00AA281F"/>
    <w:rsid w:val="00C876E4"/>
    <w:rsid w:val="00DE493E"/>
    <w:rsid w:val="00E6250E"/>
    <w:rsid w:val="00E6340F"/>
    <w:rsid w:val="00EA4314"/>
    <w:rsid w:val="00F63F8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8CCE5"/>
  <w15:docId w15:val="{A88ECF15-1B32-448B-BB3F-E3405A2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fontstyle01">
    <w:name w:val="fontstyle01"/>
    <w:basedOn w:val="Absatz-Standardschriftart"/>
    <w:rsid w:val="00B762D2"/>
    <w:rPr>
      <w:rFonts w:ascii="Hind107-Light" w:hAnsi="Hind107-Light" w:hint="default"/>
      <w:b w:val="0"/>
      <w:bCs w:val="0"/>
      <w:i w:val="0"/>
      <w:iCs w:val="0"/>
      <w:color w:val="46464B"/>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tblPr>
      <w:tblStyleRowBandSize w:val="1"/>
      <w:tblStyleColBandSize w:val="1"/>
      <w:tblCellMar>
        <w:left w:w="115" w:type="dxa"/>
        <w:right w:w="115" w:type="dxa"/>
      </w:tblCellMar>
    </w:tblPr>
    <w:tcPr>
      <w:shd w:val="clear" w:color="auto" w:fill="F2DC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fr/congatec/communiques-de-presse.html"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ongatec.com/11th-gen-intel-co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gatec.com/en/products/com-express-type-6/conga-tc570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6s4LNQWfMsRojC/p1BKb3v59w==">CgMxLjA4AHIhMWluXzFsVVVzcVVkaUNVTzBVVERUMXNPX3ViMVJPYjBN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8CE21C34-4827-43EC-9357-059D0E3D7B56}">
  <ds:schemaRefs>
    <ds:schemaRef ds:uri="http://schemas.microsoft.com/sharepoint/v3/contenttype/forms"/>
  </ds:schemaRefs>
</ds:datastoreItem>
</file>

<file path=customXml/itemProps2.xml><?xml version="1.0" encoding="utf-8"?>
<ds:datastoreItem xmlns:ds="http://schemas.openxmlformats.org/officeDocument/2006/customXml" ds:itemID="{57B7BFF7-330F-4CA0-94FD-CA7B33C58E7F}"/>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560751B-A920-4E64-ABDE-FA103109BD8F}"/>
</file>

<file path=docProps/app.xml><?xml version="1.0" encoding="utf-8"?>
<Properties xmlns="http://schemas.openxmlformats.org/officeDocument/2006/extended-properties" xmlns:vt="http://schemas.openxmlformats.org/officeDocument/2006/docPropsVTypes">
  <Template>Normal.dotm</Template>
  <TotalTime>0</TotalTime>
  <Pages>4</Pages>
  <Words>881</Words>
  <Characters>5557</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
    </vt:vector>
  </TitlesOfParts>
  <Company>Archetype</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Christof Wilde</cp:lastModifiedBy>
  <cp:revision>12</cp:revision>
  <dcterms:created xsi:type="dcterms:W3CDTF">2023-09-03T12:35:00Z</dcterms:created>
  <dcterms:modified xsi:type="dcterms:W3CDTF">2023-09-11T07:02:00Z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