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B455" w14:textId="77777777" w:rsidR="00C6170F" w:rsidRDefault="00C85ED0">
      <w:pPr>
        <w:pStyle w:val="berschrift1"/>
        <w:spacing w:line="240" w:lineRule="auto"/>
      </w:pPr>
      <w:r>
        <w:t>Pressemitteilung</w:t>
      </w:r>
      <w:r>
        <w:drawing>
          <wp:anchor distT="0" distB="0" distL="114300" distR="114300" simplePos="0" relativeHeight="251658240" behindDoc="0" locked="0" layoutInCell="1" hidden="0" allowOverlap="1" wp14:anchorId="2044B49A" wp14:editId="2044B49B">
            <wp:simplePos x="0" y="0"/>
            <wp:positionH relativeFrom="column">
              <wp:posOffset>4388567</wp:posOffset>
            </wp:positionH>
            <wp:positionV relativeFrom="paragraph">
              <wp:posOffset>-366941</wp:posOffset>
            </wp:positionV>
            <wp:extent cx="1145330" cy="901243"/>
            <wp:effectExtent l="0" t="0" r="0" b="0"/>
            <wp:wrapNone/>
            <wp:docPr id="976565083" name="image1.jpg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44B456" w14:textId="77777777" w:rsidR="00C6170F" w:rsidRDefault="00C6170F">
      <w:pPr>
        <w:pStyle w:val="berschrift1"/>
        <w:spacing w:line="240" w:lineRule="auto"/>
      </w:pPr>
    </w:p>
    <w:p w14:paraId="2044B457" w14:textId="77777777" w:rsidR="00C6170F" w:rsidRDefault="00C6170F">
      <w:pPr>
        <w:pStyle w:val="berschrift1"/>
        <w:spacing w:line="240" w:lineRule="auto"/>
      </w:pPr>
    </w:p>
    <w:p w14:paraId="2044B458" w14:textId="77777777" w:rsidR="00C6170F" w:rsidRDefault="00C85ED0">
      <w:pPr>
        <w:spacing w:line="240" w:lineRule="auto"/>
      </w:pPr>
      <w:r>
        <w:t>congatec begrüßt Veröffentlichung des COM-HPC Carrier-Design Guides Rev. 2.2</w:t>
      </w:r>
    </w:p>
    <w:p w14:paraId="2044B459" w14:textId="77777777" w:rsidR="00C6170F" w:rsidRDefault="00C6170F">
      <w:pPr>
        <w:spacing w:line="240" w:lineRule="auto"/>
      </w:pPr>
    </w:p>
    <w:p w14:paraId="2044B45A" w14:textId="77777777" w:rsidR="00C6170F" w:rsidRDefault="00C85ED0">
      <w:pPr>
        <w:pStyle w:val="berschrift1"/>
        <w:spacing w:line="240" w:lineRule="auto"/>
      </w:pPr>
      <w:r>
        <w:t>COM-HPC Mini Spezifikation ist nun komplett</w:t>
      </w:r>
    </w:p>
    <w:p w14:paraId="2044B45B" w14:textId="77777777" w:rsidR="00C6170F" w:rsidRDefault="00C6170F">
      <w:pPr>
        <w:spacing w:line="240" w:lineRule="auto"/>
      </w:pPr>
    </w:p>
    <w:p w14:paraId="2044B45C" w14:textId="77777777" w:rsidR="00C6170F" w:rsidRDefault="00C85ED0">
      <w:pPr>
        <w:spacing w:line="240" w:lineRule="auto"/>
      </w:pPr>
      <w:r>
        <w:rPr>
          <w:noProof/>
        </w:rPr>
        <w:drawing>
          <wp:inline distT="0" distB="0" distL="0" distR="0" wp14:anchorId="2044B49C" wp14:editId="2044B49D">
            <wp:extent cx="5760720" cy="3840480"/>
            <wp:effectExtent l="0" t="0" r="0" b="0"/>
            <wp:docPr id="976565084" name="image2.jpg" descr="A close-up of a computer chi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close-up of a computer chip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44B45D" w14:textId="77777777" w:rsidR="00C6170F" w:rsidRDefault="00C6170F">
      <w:pPr>
        <w:spacing w:line="240" w:lineRule="auto"/>
      </w:pPr>
    </w:p>
    <w:p w14:paraId="2044B45E" w14:textId="77777777" w:rsidR="00C6170F" w:rsidRDefault="00C85ED0">
      <w:r>
        <w:rPr>
          <w:b/>
        </w:rPr>
        <w:t>Deggendorf, 21. März 2024 * *</w:t>
      </w:r>
      <w:r>
        <w:t xml:space="preserve"> * congatec – ein führender Anbieter von Embedded- und Edge-Computer-Technologie – begrüßt die Veröffentlichung des COM-HPC Carrier-Design Guides Rev. 2.2, der Entwicklern als Pflichtenheft und Inspirationsquelle für das Layout modularer Designs auf Basis </w:t>
      </w:r>
      <w:r>
        <w:t>des 95 mm x 70 mm kleinen COM-HPC Mini Spezifikation dient. Der von dem herstellerunabhängigen Standardisierungsgremium PICMG veröffentlichte Guide bietet Entwicklern von Embedded-Systemen eine umfassende Anleitung zum Entwurf COM-HPC Mini basierter Carrie</w:t>
      </w:r>
      <w:r>
        <w:t>rboards und deckt zudem auch alle neuen Features und Schnittstellen ab, die mit dem jüngsten Update der COM-HPC Spezifikation implementiert wurden. Die Verfügbarkeit des neuen Guides ist für die Embedded Computing Community von essenzieller Bedeutung, da H</w:t>
      </w:r>
      <w:r>
        <w:t>igh-Performance Designs diesen Guide benötigen, um bestehende COM Express basierte Designs auf die seit Oktober 2023 offiziell verabschiedete COM-HPC Mini Spezifikation (COM HPC Spezifikation 1.2) zu migrieren.</w:t>
      </w:r>
    </w:p>
    <w:p w14:paraId="2044B45F" w14:textId="77777777" w:rsidR="00C6170F" w:rsidRDefault="00C6170F"/>
    <w:p w14:paraId="2044B460" w14:textId="77777777" w:rsidR="00C6170F" w:rsidRDefault="00C85ED0">
      <w:r>
        <w:lastRenderedPageBreak/>
        <w:t>COM-HPC Mini bietet gegenüber bislang verfüg</w:t>
      </w:r>
      <w:r>
        <w:t xml:space="preserve">baren Module-Standards im Mini-Format mit 400 Signalpins deutlich mehr Pins für Schnittstellen und unterstützt zudem neueste Hochgeschwindigkeitsschnittstellen – einschließlich PCIe 4.0 / PCIe 5.0, 10-Gbit/s-Ethernet, USB 4.0, Thunderbolt und vieles mehr. </w:t>
      </w:r>
      <w:r>
        <w:t xml:space="preserve">Die maximale Leistungsaufnahme von bis zu 76 Watt bietet zudem reichlich Spielraum auch für leistungsorientierte Multicore-Prozessoren wie die bis zu 14 Cores bietende 13. Generation der Intel® Core™ Prozessorserie (Codename "Raptor Lake-P"), die congatec </w:t>
      </w:r>
      <w:r>
        <w:t>bereits auf dem COM-HPC Mini Modulen der conga-HPC/mRLP Serie anbietet. Sie unterstützen unter anderem die firmwareintegrierte Hypervsior-Technologie, um parallele Tasks rückwirkungsfrei in virtuellen Maschinen auszuführen, was die Systemkonsolidierung unt</w:t>
      </w:r>
      <w:r>
        <w:t>erstützt.</w:t>
      </w:r>
    </w:p>
    <w:p w14:paraId="2044B461" w14:textId="77777777" w:rsidR="00C6170F" w:rsidRDefault="00C6170F"/>
    <w:p w14:paraId="2044B462" w14:textId="390008DC" w:rsidR="00C6170F" w:rsidRDefault="00C85ED0">
      <w:r>
        <w:t xml:space="preserve">Eine Änderung der COM-HPC Design-Prinzipien betrifft die Gesamtbauhöhe von Modul und Heatspreader, die für COM-HPC Mini Designs um 5 mm gegenüber COM-HPC Client </w:t>
      </w:r>
      <w:r>
        <w:t>reduziert wurde. Die minimale Aufbauhöhe benötigt damit nur noch 15</w:t>
      </w:r>
      <w:r>
        <w:t xml:space="preserve"> mm statt der bei anderen COM-HPC-Spezifik</w:t>
      </w:r>
      <w:r>
        <w:t>ationen üblichen 20</w:t>
      </w:r>
      <w:r>
        <w:t xml:space="preserve"> mm ab dem Carrierboard. Dies ermöglicht sehr schlanke Designs, wie sie bei mobilen Handhelds oder Panel-PCs benötigt werden. Um die Bauhöhenlimits einzuhalten, haben COM-HPC Mini-Module immer gelötete Speicher. Dieser macht COM-HPC Mini</w:t>
      </w:r>
      <w:r>
        <w:t>-Module von Haus aus robust, denn gelöteter Speicher bietet nicht nur eine hohe Schock- und Vibrationsfestigkeit, sondern durch die direkte thermische Kopplung an den Heatspreader auch eine effiziente Kühlung.</w:t>
      </w:r>
    </w:p>
    <w:p w14:paraId="2044B463" w14:textId="77777777" w:rsidR="00C6170F" w:rsidRDefault="00C6170F"/>
    <w:p w14:paraId="2044B464" w14:textId="77777777" w:rsidR="00C6170F" w:rsidRDefault="00C85ED0">
      <w:r>
        <w:t>Kunden, die Unterstützung bei der Umsetzung d</w:t>
      </w:r>
      <w:r>
        <w:t xml:space="preserve">er Details des Design Guides wünschen, können Muster-Layouts von congatec beziehen und Design-In Trainings absolvieren. congatec unterstützt auch bei der Auswahl von Komponenten und bietet Services zur Signalintegritätssimulation sowie die Überprüfung der </w:t>
      </w:r>
      <w:r>
        <w:t>Layouts, um Probleme frühzeitig zu erkennen. Optional bietet congatec auch Engineering-Support, um erste Prototypen schnell bereitstellen zu können.</w:t>
      </w:r>
    </w:p>
    <w:p w14:paraId="2044B465" w14:textId="77777777" w:rsidR="00C6170F" w:rsidRDefault="00C6170F"/>
    <w:p w14:paraId="2044B466" w14:textId="77777777" w:rsidR="00C6170F" w:rsidRPr="00C85ED0" w:rsidRDefault="00C85ED0">
      <w:pPr>
        <w:rPr>
          <w:lang w:val="en-US"/>
        </w:rPr>
      </w:pPr>
      <w:r w:rsidRPr="00C85ED0">
        <w:rPr>
          <w:lang w:val="en-US"/>
        </w:rPr>
        <w:t>Download des neuen COM-HPC Design Guides 2.2 unter:</w:t>
      </w:r>
    </w:p>
    <w:p w14:paraId="2044B467" w14:textId="77777777" w:rsidR="00C6170F" w:rsidRPr="00C85ED0" w:rsidRDefault="00C85ED0">
      <w:pPr>
        <w:rPr>
          <w:lang w:val="en-US"/>
        </w:rPr>
      </w:pPr>
      <w:hyperlink r:id="rId11">
        <w:r w:rsidRPr="00C85ED0">
          <w:rPr>
            <w:color w:val="1155CC"/>
            <w:u w:val="single"/>
            <w:lang w:val="en-US"/>
          </w:rPr>
          <w:t>https://www.picmg.org/resources/design-guides/</w:t>
        </w:r>
      </w:hyperlink>
    </w:p>
    <w:p w14:paraId="2044B468" w14:textId="77777777" w:rsidR="00C6170F" w:rsidRDefault="00C85ED0">
      <w:r>
        <w:t xml:space="preserve">Die wichtigsten Features der COM-HPC Mini-Spezifikation unter: </w:t>
      </w:r>
      <w:hyperlink r:id="rId12">
        <w:r>
          <w:rPr>
            <w:color w:val="0000FF"/>
            <w:u w:val="single"/>
          </w:rPr>
          <w:t>https://www.congatec.com/de/t</w:t>
        </w:r>
        <w:r>
          <w:rPr>
            <w:color w:val="0000FF"/>
            <w:u w:val="single"/>
          </w:rPr>
          <w:t>echnologien/com-hpc-mini/</w:t>
        </w:r>
      </w:hyperlink>
    </w:p>
    <w:p w14:paraId="2044B469" w14:textId="77777777" w:rsidR="00C6170F" w:rsidRDefault="00C6170F"/>
    <w:p w14:paraId="2044B46A" w14:textId="77777777" w:rsidR="00C6170F" w:rsidRDefault="00C85ED0">
      <w:r>
        <w:t>Das erste COM-HPC Mini Modul:</w:t>
      </w:r>
    </w:p>
    <w:p w14:paraId="2044B46B" w14:textId="77777777" w:rsidR="00C6170F" w:rsidRDefault="00C85ED0">
      <w:hyperlink r:id="rId13">
        <w:r>
          <w:rPr>
            <w:color w:val="0000FF"/>
            <w:u w:val="single"/>
          </w:rPr>
          <w:t>https://www.congatec.com/de/produkte/com-hpc/conga-hpcmrlp/</w:t>
        </w:r>
      </w:hyperlink>
    </w:p>
    <w:p w14:paraId="2044B46C" w14:textId="77777777" w:rsidR="00C6170F" w:rsidRDefault="00C6170F"/>
    <w:p w14:paraId="2044B46D" w14:textId="77777777" w:rsidR="00C6170F" w:rsidRPr="00C85ED0" w:rsidRDefault="00C85ED0">
      <w:pPr>
        <w:rPr>
          <w:lang w:val="en-US"/>
        </w:rPr>
      </w:pPr>
      <w:r w:rsidRPr="00C85ED0">
        <w:rPr>
          <w:lang w:val="en-US"/>
        </w:rPr>
        <w:t>congatec Module Services:</w:t>
      </w:r>
    </w:p>
    <w:p w14:paraId="2044B46E" w14:textId="77777777" w:rsidR="00C6170F" w:rsidRPr="00C85ED0" w:rsidRDefault="00C85ED0">
      <w:pPr>
        <w:rPr>
          <w:lang w:val="en-US"/>
        </w:rPr>
      </w:pPr>
      <w:hyperlink r:id="rId14">
        <w:r w:rsidRPr="00C85ED0">
          <w:rPr>
            <w:color w:val="0000FF"/>
            <w:u w:val="single"/>
            <w:lang w:val="en-US"/>
          </w:rPr>
          <w:t>https://www.congatec.com/de/technologien/technical-services/</w:t>
        </w:r>
      </w:hyperlink>
    </w:p>
    <w:p w14:paraId="2044B46F" w14:textId="77777777" w:rsidR="00C6170F" w:rsidRPr="00C85ED0" w:rsidRDefault="00C6170F">
      <w:pPr>
        <w:spacing w:line="276" w:lineRule="auto"/>
        <w:rPr>
          <w:lang w:val="en-US"/>
        </w:rPr>
      </w:pPr>
    </w:p>
    <w:p w14:paraId="2044B470" w14:textId="77777777" w:rsidR="00C6170F" w:rsidRDefault="00C85ED0">
      <w:pPr>
        <w:spacing w:before="240" w:after="240" w:line="276" w:lineRule="auto"/>
      </w:pPr>
      <w:r>
        <w:t>Diese und weitere Neuheiten erleben Sie vom 9. -11. April 2024 auf der embedded world:</w:t>
      </w:r>
      <w:hyperlink r:id="rId15">
        <w:r>
          <w:t xml:space="preserve"> </w:t>
        </w:r>
      </w:hyperlink>
      <w:hyperlink r:id="rId16">
        <w:r>
          <w:rPr>
            <w:color w:val="1155CC"/>
            <w:u w:val="single"/>
          </w:rPr>
          <w:t>https://www.congatec.com/de/congatec/events/congatec-at-embedded-world-2024/</w:t>
        </w:r>
      </w:hyperlink>
    </w:p>
    <w:p w14:paraId="2044B471" w14:textId="77777777" w:rsidR="00C6170F" w:rsidRDefault="00C85ED0">
      <w:pPr>
        <w:spacing w:before="240" w:after="240" w:line="276" w:lineRule="auto"/>
      </w:pPr>
      <w:r>
        <w:t>Besuchen Sie congatec in Halle 3 auf Stand 241.</w:t>
      </w:r>
    </w:p>
    <w:p w14:paraId="2044B472" w14:textId="77777777" w:rsidR="00C6170F" w:rsidRDefault="00C6170F"/>
    <w:p w14:paraId="2044B473" w14:textId="77777777" w:rsidR="00C6170F" w:rsidRDefault="00C6170F"/>
    <w:p w14:paraId="2044B474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 * *</w:t>
      </w:r>
    </w:p>
    <w:p w14:paraId="2044B475" w14:textId="77777777" w:rsidR="00C6170F" w:rsidRDefault="00C61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044B476" w14:textId="77777777" w:rsidR="00C6170F" w:rsidRDefault="00C85ED0">
      <w:pPr>
        <w:rPr>
          <w:b/>
          <w:sz w:val="20"/>
          <w:szCs w:val="20"/>
        </w:rPr>
      </w:pPr>
      <w:r>
        <w:rPr>
          <w:sz w:val="20"/>
          <w:szCs w:val="20"/>
        </w:rPr>
        <w:t>Kommen Sie gerne zur </w:t>
      </w:r>
      <w:r>
        <w:rPr>
          <w:b/>
          <w:sz w:val="20"/>
          <w:szCs w:val="20"/>
        </w:rPr>
        <w:t>Pressekonferenz</w:t>
      </w:r>
      <w:r>
        <w:rPr>
          <w:sz w:val="20"/>
          <w:szCs w:val="20"/>
        </w:rPr>
        <w:t> zu allen Neuigkeiten rund um congatec am </w:t>
      </w:r>
      <w:r>
        <w:rPr>
          <w:b/>
          <w:sz w:val="20"/>
          <w:szCs w:val="20"/>
        </w:rPr>
        <w:t>9. April</w:t>
      </w:r>
      <w:r>
        <w:rPr>
          <w:sz w:val="20"/>
          <w:szCs w:val="20"/>
        </w:rPr>
        <w:t xml:space="preserve"> von </w:t>
      </w:r>
      <w:r>
        <w:rPr>
          <w:b/>
          <w:sz w:val="20"/>
          <w:szCs w:val="20"/>
        </w:rPr>
        <w:t>14:00 -14:30 Uhr</w:t>
      </w:r>
      <w:r>
        <w:rPr>
          <w:sz w:val="20"/>
          <w:szCs w:val="20"/>
        </w:rPr>
        <w:t xml:space="preserve"> im </w:t>
      </w:r>
      <w:r>
        <w:rPr>
          <w:b/>
          <w:sz w:val="20"/>
          <w:szCs w:val="20"/>
        </w:rPr>
        <w:t>NCC Ost</w:t>
      </w:r>
      <w:r>
        <w:rPr>
          <w:sz w:val="20"/>
          <w:szCs w:val="20"/>
        </w:rPr>
        <w:t> vor. Sprechen Sie uns auch gern direkt an bei Interesse an der Pressekonferenz oder/und einem Einzelgespräch auf dem Messestand.</w:t>
      </w:r>
    </w:p>
    <w:p w14:paraId="2044B477" w14:textId="77777777" w:rsidR="00C6170F" w:rsidRDefault="00C617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044B478" w14:textId="77777777" w:rsidR="00C6170F" w:rsidRDefault="00C61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rPr>
          <w:b/>
          <w:color w:val="000000"/>
          <w:sz w:val="16"/>
          <w:szCs w:val="16"/>
        </w:rPr>
      </w:pPr>
    </w:p>
    <w:p w14:paraId="2044B479" w14:textId="77777777" w:rsidR="00C6170F" w:rsidRDefault="00C85ED0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Über c</w:t>
      </w:r>
      <w:r>
        <w:rPr>
          <w:b/>
          <w:sz w:val="18"/>
          <w:szCs w:val="18"/>
        </w:rPr>
        <w:t>ongatec</w:t>
      </w:r>
    </w:p>
    <w:p w14:paraId="2044B47A" w14:textId="77777777" w:rsidR="00C6170F" w:rsidRDefault="00C85ED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congatec ist ein stark wachsendes Technologieunternehmen mit Fokus auf Embedded- und Edge-Computing-Produkte und Services. Die leistungsstarken Computermodule werden in einer Vielzahl von Systemanwendungen und Geräten in der industriellen Automatis</w:t>
      </w:r>
      <w:r>
        <w:rPr>
          <w:sz w:val="18"/>
          <w:szCs w:val="18"/>
        </w:rPr>
        <w:t>ierung, der Medizintechnik, der Robotik, der Telekommunikation und vielen anderen Branchen eingesetzt. Unterstützt vom Mehrheitsaktionär DBAG Fund VIII, einem deutschen Mittelstandsfonds mit Fokus auf wachsende Industrieunternehmen, verfügt congatec über d</w:t>
      </w:r>
      <w:r>
        <w:rPr>
          <w:sz w:val="18"/>
          <w:szCs w:val="18"/>
        </w:rPr>
        <w:t>ie Finanzierungs- und M&amp;A Erfahrung, um diese expandierenden Marktchancen zu nutzen. Im Segment Computer-on-Module ist congatec globaler Marktführer mit einer exzellenten Kundenbasis von Start-ups bis zu internationalen Blue-Chip-Unternehmen. Weitere Infor</w:t>
      </w:r>
      <w:r>
        <w:rPr>
          <w:sz w:val="18"/>
          <w:szCs w:val="18"/>
        </w:rPr>
        <w:t xml:space="preserve">mationen finden Sie unter </w:t>
      </w:r>
      <w:hyperlink r:id="rId17">
        <w:r>
          <w:rPr>
            <w:color w:val="0000FF"/>
            <w:sz w:val="18"/>
            <w:szCs w:val="18"/>
            <w:u w:val="single"/>
          </w:rPr>
          <w:t>www.congatec.de</w:t>
        </w:r>
      </w:hyperlink>
      <w:r>
        <w:rPr>
          <w:sz w:val="18"/>
          <w:szCs w:val="18"/>
        </w:rPr>
        <w:t xml:space="preserve"> oder bei </w:t>
      </w:r>
      <w:hyperlink r:id="rId18">
        <w:r>
          <w:rPr>
            <w:color w:val="0000FF"/>
            <w:sz w:val="18"/>
            <w:szCs w:val="18"/>
            <w:u w:val="single"/>
          </w:rPr>
          <w:t>LinkedIn</w:t>
        </w:r>
      </w:hyperlink>
      <w:r>
        <w:rPr>
          <w:sz w:val="18"/>
          <w:szCs w:val="18"/>
        </w:rPr>
        <w:t xml:space="preserve">, </w:t>
      </w:r>
      <w:hyperlink r:id="rId19">
        <w:r>
          <w:rPr>
            <w:color w:val="0000FF"/>
            <w:sz w:val="18"/>
            <w:szCs w:val="18"/>
            <w:u w:val="single"/>
          </w:rPr>
          <w:t>X (Twitter)</w:t>
        </w:r>
      </w:hyperlink>
      <w:r>
        <w:rPr>
          <w:sz w:val="18"/>
          <w:szCs w:val="18"/>
        </w:rPr>
        <w:t xml:space="preserve"> und </w:t>
      </w:r>
      <w:hyperlink r:id="rId20">
        <w:r>
          <w:rPr>
            <w:color w:val="0000FF"/>
            <w:sz w:val="18"/>
            <w:szCs w:val="18"/>
            <w:u w:val="single"/>
          </w:rPr>
          <w:t>YouTube</w:t>
        </w:r>
      </w:hyperlink>
      <w:r>
        <w:rPr>
          <w:sz w:val="18"/>
          <w:szCs w:val="18"/>
        </w:rPr>
        <w:t>.</w:t>
      </w:r>
    </w:p>
    <w:p w14:paraId="2044B47B" w14:textId="77777777" w:rsidR="00C6170F" w:rsidRDefault="00C6170F">
      <w:pPr>
        <w:spacing w:line="240" w:lineRule="auto"/>
        <w:rPr>
          <w:sz w:val="16"/>
          <w:szCs w:val="16"/>
        </w:rPr>
      </w:pPr>
    </w:p>
    <w:p w14:paraId="2044B47C" w14:textId="77777777" w:rsidR="00C6170F" w:rsidRDefault="00C61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</w:p>
    <w:p w14:paraId="2044B47D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Intel, das Intel Logo und andere Intel Marken sind Handelsmarken der Intel Corporation oder ihrer Tochtergesellschaften</w:t>
      </w:r>
    </w:p>
    <w:p w14:paraId="2044B47E" w14:textId="77777777" w:rsidR="00C6170F" w:rsidRDefault="00C617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2044B47F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b/>
          <w:color w:val="000000"/>
          <w:lang w:val="en-US"/>
        </w:rPr>
        <w:t>Leserkontakt:</w:t>
      </w:r>
    </w:p>
    <w:p w14:paraId="2044B480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00"/>
          <w:lang w:val="en-US"/>
        </w:rPr>
        <w:t>congatec</w:t>
      </w:r>
    </w:p>
    <w:p w14:paraId="2044B481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00"/>
          <w:lang w:val="en-US"/>
        </w:rPr>
        <w:t>Phone: +49-991-2700-0</w:t>
      </w:r>
    </w:p>
    <w:p w14:paraId="2044B482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FF"/>
          <w:u w:val="single"/>
          <w:lang w:val="en-US"/>
        </w:rPr>
        <w:t>info@congatec.com </w:t>
      </w:r>
    </w:p>
    <w:p w14:paraId="2044B483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hyperlink r:id="rId21">
        <w:r w:rsidRPr="00C85ED0">
          <w:rPr>
            <w:color w:val="0000FF"/>
            <w:u w:val="single"/>
            <w:lang w:val="en-US"/>
          </w:rPr>
          <w:t>www.congatec.com</w:t>
        </w:r>
      </w:hyperlink>
    </w:p>
    <w:p w14:paraId="2044B484" w14:textId="77777777" w:rsidR="00C6170F" w:rsidRPr="00C85ED0" w:rsidRDefault="00C6170F">
      <w:pPr>
        <w:rPr>
          <w:lang w:val="en-US"/>
        </w:rPr>
      </w:pPr>
    </w:p>
    <w:p w14:paraId="2044B485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b/>
          <w:color w:val="000000"/>
          <w:lang w:val="en-US"/>
        </w:rPr>
        <w:t>Pressekontakt congatec:</w:t>
      </w:r>
    </w:p>
    <w:p w14:paraId="2044B486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00"/>
          <w:lang w:val="en-US"/>
        </w:rPr>
        <w:t>congatec</w:t>
      </w:r>
    </w:p>
    <w:p w14:paraId="2044B487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00"/>
          <w:lang w:val="en-US"/>
        </w:rPr>
        <w:t>Christof Wilde</w:t>
      </w:r>
    </w:p>
    <w:p w14:paraId="2044B488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00"/>
          <w:lang w:val="en-US"/>
        </w:rPr>
        <w:t>Phone:  +49-991-2700-2822</w:t>
      </w:r>
    </w:p>
    <w:p w14:paraId="2044B489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FF"/>
          <w:u w:val="single"/>
          <w:lang w:val="en-US"/>
        </w:rPr>
        <w:t>christof.wilde@congatec.com</w:t>
      </w:r>
    </w:p>
    <w:p w14:paraId="2044B48A" w14:textId="77777777" w:rsidR="00C6170F" w:rsidRPr="00C85ED0" w:rsidRDefault="00C6170F">
      <w:pPr>
        <w:rPr>
          <w:lang w:val="en-US"/>
        </w:rPr>
      </w:pPr>
    </w:p>
    <w:p w14:paraId="2044B48B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b/>
          <w:color w:val="000000"/>
          <w:lang w:val="en-US"/>
        </w:rPr>
        <w:t>Pressekontakt Agentur:</w:t>
      </w:r>
    </w:p>
    <w:p w14:paraId="2044B48C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00"/>
          <w:lang w:val="en-US"/>
        </w:rPr>
        <w:lastRenderedPageBreak/>
        <w:t>Publitek GmbH</w:t>
      </w:r>
    </w:p>
    <w:p w14:paraId="2044B48D" w14:textId="77777777" w:rsidR="00C6170F" w:rsidRPr="00C85ED0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  <w:lang w:val="en-US"/>
        </w:rPr>
      </w:pPr>
      <w:r w:rsidRPr="00C85ED0">
        <w:rPr>
          <w:color w:val="000000"/>
          <w:lang w:val="en-US"/>
        </w:rPr>
        <w:t>Julia Wolff</w:t>
      </w:r>
    </w:p>
    <w:p w14:paraId="2044B48E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color w:val="000000"/>
        </w:rPr>
        <w:t>+49 (0)4181 968098-18</w:t>
      </w:r>
    </w:p>
    <w:p w14:paraId="2044B48F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hyperlink r:id="rId22">
        <w:r>
          <w:rPr>
            <w:color w:val="0000FF"/>
            <w:u w:val="single"/>
          </w:rPr>
          <w:t>julia.wolff@publitek.com</w:t>
        </w:r>
      </w:hyperlink>
    </w:p>
    <w:p w14:paraId="2044B490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color w:val="000000"/>
        </w:rPr>
        <w:t>Bremer Straße 6</w:t>
      </w:r>
    </w:p>
    <w:p w14:paraId="2044B491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color w:val="000000"/>
        </w:rPr>
        <w:t>21244 Buchholz</w:t>
      </w:r>
    </w:p>
    <w:p w14:paraId="2044B492" w14:textId="77777777" w:rsidR="00C6170F" w:rsidRDefault="00C6170F"/>
    <w:p w14:paraId="2044B493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b/>
          <w:color w:val="000000"/>
        </w:rPr>
        <w:t>Bitte senden Sie Beleghefte an:</w:t>
      </w:r>
    </w:p>
    <w:p w14:paraId="2044B494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color w:val="000000"/>
        </w:rPr>
        <w:t>Publitek GmbH</w:t>
      </w:r>
    </w:p>
    <w:p w14:paraId="2044B495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color w:val="000000"/>
        </w:rPr>
        <w:t>Diana Penzien</w:t>
      </w:r>
    </w:p>
    <w:p w14:paraId="2044B496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color w:val="000000"/>
        </w:rPr>
        <w:t>Bremer Straße 6</w:t>
      </w:r>
    </w:p>
    <w:p w14:paraId="2044B497" w14:textId="77777777" w:rsidR="00C6170F" w:rsidRDefault="00C85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color w:val="000000"/>
        </w:rPr>
        <w:t>21244 Buchholz</w:t>
      </w:r>
    </w:p>
    <w:p w14:paraId="2044B498" w14:textId="77777777" w:rsidR="00C6170F" w:rsidRDefault="00C6170F">
      <w:pPr>
        <w:spacing w:line="240" w:lineRule="auto"/>
      </w:pPr>
    </w:p>
    <w:p w14:paraId="2044B499" w14:textId="77777777" w:rsidR="00C6170F" w:rsidRDefault="00C6170F">
      <w:pPr>
        <w:rPr>
          <w:sz w:val="16"/>
          <w:szCs w:val="16"/>
        </w:rPr>
      </w:pPr>
    </w:p>
    <w:sectPr w:rsidR="00C6170F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B4AC" w14:textId="77777777" w:rsidR="00000000" w:rsidRDefault="00C85ED0">
      <w:pPr>
        <w:spacing w:line="240" w:lineRule="auto"/>
      </w:pPr>
      <w:r>
        <w:separator/>
      </w:r>
    </w:p>
  </w:endnote>
  <w:endnote w:type="continuationSeparator" w:id="0">
    <w:p w14:paraId="2044B4AE" w14:textId="77777777" w:rsidR="00000000" w:rsidRDefault="00C85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B4A5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A6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A7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B4A8" w14:textId="77777777" w:rsidR="00000000" w:rsidRDefault="00C85ED0">
      <w:pPr>
        <w:spacing w:line="240" w:lineRule="auto"/>
      </w:pPr>
      <w:r>
        <w:separator/>
      </w:r>
    </w:p>
  </w:footnote>
  <w:footnote w:type="continuationSeparator" w:id="0">
    <w:p w14:paraId="2044B4AA" w14:textId="77777777" w:rsidR="00000000" w:rsidRDefault="00C85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B49E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9F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A0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A1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A2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A3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044B4A4" w14:textId="77777777" w:rsidR="00C6170F" w:rsidRDefault="00C61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0F"/>
    <w:rsid w:val="00C6170F"/>
    <w:rsid w:val="00C8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B455"/>
  <w15:docId w15:val="{8385CB46-BF39-414B-A037-17793A92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C51"/>
    <w:pPr>
      <w:suppressAutoHyphens/>
    </w:pPr>
    <w:rPr>
      <w:rFonts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StandardWeb">
    <w:name w:val="Normal (Web)"/>
    <w:basedOn w:val="Standard"/>
    <w:uiPriority w:val="99"/>
    <w:semiHidden/>
    <w:unhideWhenUsed/>
    <w:rsid w:val="00D602E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de-D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gatec.com/de/produkte/com-hpc/conga-hpcmrlp/" TargetMode="External"/><Relationship Id="rId18" Type="http://schemas.openxmlformats.org/officeDocument/2006/relationships/hyperlink" Target="https://www.linkedin.com/company/congatec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ongatec.com/de/technologien/com-hpc-mini/" TargetMode="External"/><Relationship Id="rId17" Type="http://schemas.openxmlformats.org/officeDocument/2006/relationships/hyperlink" Target="https://www.congatec.com/d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de/congatec/events/congatec-at-embedded-world-2024/" TargetMode="External"/><Relationship Id="rId20" Type="http://schemas.openxmlformats.org/officeDocument/2006/relationships/hyperlink" Target="https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icmg.org/resources/design-guides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ongatec.com/de/congatec/events/congatec-at-embedded-world-2024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hyperlink" Target="https://twitter.com/congatecA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congatec.com/de/technologien/technical-services/" TargetMode="External"/><Relationship Id="rId22" Type="http://schemas.openxmlformats.org/officeDocument/2006/relationships/hyperlink" Target="mailto:julia.wolff@publitek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1gvxyPfJ8Jr6CEzxt/hG+sS3w==">CgMxLjA4AHIhMVBJTW5BazdYdUI2dllIZUJLRFphdGxPU1BzeVM2NGNL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19" ma:contentTypeDescription="Ein neues Dokument erstellen." ma:contentTypeScope="" ma:versionID="f3b5ead81560647055a06c8ae8430cc5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dac7b4e4872dc4ed38db46e401b8ea2a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9d73c-3d0a-41a6-8654-474aa971df3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F1CB76E-8215-4579-B89B-790E278D5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FD5E4-4442-4A06-A63F-73CB6AB6A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2</cp:revision>
  <dcterms:created xsi:type="dcterms:W3CDTF">2024-03-20T14:37:00Z</dcterms:created>
  <dcterms:modified xsi:type="dcterms:W3CDTF">2024-03-22T10:54:00Z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GrammarlyDocumentId">
    <vt:lpwstr>acfe63d20108af1f40eb014d0d5665bca2b5c8e6a6d643205c98dcd755cf9d9a</vt:lpwstr>
  </property>
</Properties>
</file>