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B29F7" w14:textId="77777777" w:rsidR="00F77C70" w:rsidRDefault="00000000">
      <w:pPr>
        <w:pStyle w:val="Heading1"/>
      </w:pPr>
      <w:r>
        <w:t xml:space="preserve">Comunicato stampa </w:t>
      </w:r>
      <w:r>
        <w:drawing>
          <wp:anchor distT="0" distB="0" distL="114300" distR="114300" simplePos="0" relativeHeight="251658240" behindDoc="0" locked="0" layoutInCell="1" hidden="0" allowOverlap="1" wp14:anchorId="0C21FBD2" wp14:editId="0EC66D21">
            <wp:simplePos x="0" y="0"/>
            <wp:positionH relativeFrom="column">
              <wp:posOffset>4349839</wp:posOffset>
            </wp:positionH>
            <wp:positionV relativeFrom="paragraph">
              <wp:posOffset>-345912</wp:posOffset>
            </wp:positionV>
            <wp:extent cx="1150531" cy="903767"/>
            <wp:effectExtent l="0" t="0" r="0" b="0"/>
            <wp:wrapNone/>
            <wp:docPr id="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7"/>
                    <a:srcRect/>
                    <a:stretch>
                      <a:fillRect/>
                    </a:stretch>
                  </pic:blipFill>
                  <pic:spPr>
                    <a:xfrm>
                      <a:off x="0" y="0"/>
                      <a:ext cx="1150531" cy="903767"/>
                    </a:xfrm>
                    <a:prstGeom prst="rect">
                      <a:avLst/>
                    </a:prstGeom>
                    <a:ln/>
                  </pic:spPr>
                </pic:pic>
              </a:graphicData>
            </a:graphic>
          </wp:anchor>
        </w:drawing>
      </w:r>
    </w:p>
    <w:p w14:paraId="5815C7AA" w14:textId="77777777" w:rsidR="00F77C70" w:rsidRDefault="00F77C70"/>
    <w:p w14:paraId="5699A3EA" w14:textId="77777777" w:rsidR="00F77C70" w:rsidRDefault="00F77C70"/>
    <w:p w14:paraId="33AF7082" w14:textId="77777777" w:rsidR="0074229E" w:rsidRPr="001E087B" w:rsidRDefault="0074229E" w:rsidP="0074229E">
      <w:pPr>
        <w:rPr>
          <w:sz w:val="28"/>
          <w:szCs w:val="28"/>
        </w:rPr>
      </w:pPr>
      <w:r w:rsidRPr="001E087B">
        <w:t>congatec introduce una scheda carrier in formato 3,5” per moduli COM-HPC Mini</w:t>
      </w:r>
    </w:p>
    <w:p w14:paraId="2537663E" w14:textId="77777777" w:rsidR="00F77C70" w:rsidRDefault="00F77C70"/>
    <w:p w14:paraId="6BF9DE5E" w14:textId="77777777" w:rsidR="0074229E" w:rsidRPr="009B6792" w:rsidRDefault="0074229E" w:rsidP="0074229E">
      <w:pPr>
        <w:pStyle w:val="Heading1"/>
        <w:spacing w:line="100" w:lineRule="atLeast"/>
      </w:pPr>
      <w:r w:rsidRPr="009B6792">
        <w:rPr>
          <w:sz w:val="28"/>
          <w:szCs w:val="28"/>
        </w:rPr>
        <w:t xml:space="preserve">La via più veloce e sostenibile per realizzare sistemi </w:t>
      </w:r>
      <w:r>
        <w:rPr>
          <w:sz w:val="28"/>
          <w:szCs w:val="28"/>
        </w:rPr>
        <w:t>dedicati in formato 3,5” di fascia alta</w:t>
      </w:r>
    </w:p>
    <w:p w14:paraId="70CA13CE" w14:textId="77777777" w:rsidR="00F77C70" w:rsidRDefault="00F77C70"/>
    <w:p w14:paraId="1366B302" w14:textId="42C3A1B9" w:rsidR="00F77C70" w:rsidRDefault="001E0024">
      <w:pPr>
        <w:rPr>
          <w:b/>
        </w:rPr>
      </w:pPr>
      <w:r>
        <w:rPr>
          <w:noProof/>
        </w:rPr>
        <w:drawing>
          <wp:inline distT="114300" distB="114300" distL="114300" distR="114300" wp14:anchorId="66201870" wp14:editId="749ABAFE">
            <wp:extent cx="5579745" cy="3714750"/>
            <wp:effectExtent l="0" t="0" r="1905" b="0"/>
            <wp:docPr id="6" name="image2.jpg" descr="A close-up of a computer chip&#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jpg" descr="A close-up of a computer chip&#10;&#10;Description automatically generated"/>
                    <pic:cNvPicPr preferRelativeResize="0"/>
                  </pic:nvPicPr>
                  <pic:blipFill>
                    <a:blip r:embed="rId8"/>
                    <a:srcRect/>
                    <a:stretch>
                      <a:fillRect/>
                    </a:stretch>
                  </pic:blipFill>
                  <pic:spPr>
                    <a:xfrm>
                      <a:off x="0" y="0"/>
                      <a:ext cx="5579745" cy="3714750"/>
                    </a:xfrm>
                    <a:prstGeom prst="rect">
                      <a:avLst/>
                    </a:prstGeom>
                    <a:ln/>
                  </pic:spPr>
                </pic:pic>
              </a:graphicData>
            </a:graphic>
          </wp:inline>
        </w:drawing>
      </w:r>
    </w:p>
    <w:p w14:paraId="59A7EDC5" w14:textId="124FAC4B" w:rsidR="0074229E" w:rsidRDefault="0074229E" w:rsidP="0074229E">
      <w:r w:rsidRPr="001E087B">
        <w:rPr>
          <w:b/>
        </w:rPr>
        <w:t xml:space="preserve">Deggendorf/Norimberga, Germania, </w:t>
      </w:r>
      <w:r w:rsidR="00FB4F5B">
        <w:rPr>
          <w:b/>
        </w:rPr>
        <w:t>11</w:t>
      </w:r>
      <w:r w:rsidRPr="001E087B">
        <w:rPr>
          <w:b/>
        </w:rPr>
        <w:t xml:space="preserve"> Aprile, 2024 * * * </w:t>
      </w:r>
      <w:r w:rsidRPr="001E087B">
        <w:t xml:space="preserve">congatec </w:t>
      </w:r>
      <w:r>
        <w:t xml:space="preserve">– </w:t>
      </w:r>
      <w:r>
        <w:rPr>
          <w:color w:val="000000"/>
        </w:rPr>
        <w:t xml:space="preserve">azienda leader nel settore della tecnologia di elaborazione per applicazioni embedded ed edge </w:t>
      </w:r>
      <w:r w:rsidRPr="001E087B">
        <w:t xml:space="preserve">– ha presentato il suo primo prodotto a livello di scheda conforme alla recente strategia aReady </w:t>
      </w:r>
      <w:r>
        <w:t xml:space="preserve">annunciata </w:t>
      </w:r>
      <w:r w:rsidRPr="001E087B">
        <w:t>della società. La nuova scheda carrier conga-HPC/3,5 Mini in formato 3,5” di tipo “application-ready”, ovvero già pronta per l'utilizzo immediato</w:t>
      </w:r>
      <w:r>
        <w:t xml:space="preserve"> in campo industriale</w:t>
      </w:r>
      <w:r w:rsidRPr="001E087B">
        <w:t>, è stata progettata per applicazioni IIoT che richiedono elevate prestazioni</w:t>
      </w:r>
      <w:r>
        <w:t xml:space="preserve"> abbinate a </w:t>
      </w:r>
      <w:r w:rsidRPr="001E087B">
        <w:t>un'alta affidabilità (rugged)</w:t>
      </w:r>
      <w:r>
        <w:t xml:space="preserve">, </w:t>
      </w:r>
      <w:r w:rsidRPr="001E087B">
        <w:t xml:space="preserve">devono soddisfare severi vincoli in termini di ingombri </w:t>
      </w:r>
      <w:r>
        <w:t xml:space="preserve">e sono </w:t>
      </w:r>
      <w:r w:rsidRPr="001E087B">
        <w:t xml:space="preserve">basate su moduli COM-HPC Mini operanti nell'intervallo di temperatura esteso compreso tra -40 e +85 °C. Quando viene utilizzata con il modulo conga-aCOM/mRLP in formato COM-HPC Mini nella versione aReady.COM, l'hypervisor e la configurazione del sistema operativo sono già installati. Un package con un'estensione software </w:t>
      </w:r>
      <w:r>
        <w:t xml:space="preserve">sviluppata </w:t>
      </w:r>
      <w:r w:rsidRPr="001E087B">
        <w:t xml:space="preserve">per garantire una connessione IIot sicura è già stato pianificato. Gli sviluppatori possono avviare i bundle (ovvero l'hardware con il software </w:t>
      </w:r>
      <w:r>
        <w:t>già caricato</w:t>
      </w:r>
      <w:r w:rsidRPr="001E087B">
        <w:t xml:space="preserve">) e installare immediatamente le loro applicazioni. Poiché in questo modo è possibile </w:t>
      </w:r>
      <w:r w:rsidRPr="001E087B">
        <w:lastRenderedPageBreak/>
        <w:t xml:space="preserve">minimizzare la complessità dell'integrazione al di sotto del livello applicativo e per differenti funzionalità IIoT dei sistemi di elaborazione embedded ed edge, </w:t>
      </w:r>
      <w:r>
        <w:t xml:space="preserve">questa </w:t>
      </w:r>
      <w:r w:rsidRPr="001E087B">
        <w:t xml:space="preserve">soluzione </w:t>
      </w:r>
      <w:r>
        <w:t xml:space="preserve">è </w:t>
      </w:r>
      <w:r w:rsidRPr="001E087B">
        <w:t>ideale anche per gli integratori di sistema.</w:t>
      </w:r>
    </w:p>
    <w:p w14:paraId="1A597171" w14:textId="77777777" w:rsidR="0074229E" w:rsidRDefault="0074229E" w:rsidP="0074229E"/>
    <w:p w14:paraId="7461AB7A" w14:textId="77777777" w:rsidR="0074229E" w:rsidRDefault="0074229E" w:rsidP="0074229E">
      <w:r w:rsidRPr="001E087B">
        <w:t>Per questa scheda carrier di tipo COTS (Commercial O</w:t>
      </w:r>
      <w:r>
        <w:t>ff</w:t>
      </w:r>
      <w:r w:rsidRPr="001E087B">
        <w:t>-The-Shelf) sono previste due opzioni di acquisto. Come semplice scheda carrier abbinata al modulo conga-HPC/mRLP in formato COM-HPC</w:t>
      </w:r>
      <w:r>
        <w:t xml:space="preserve"> Mini</w:t>
      </w:r>
      <w:r w:rsidRPr="001E087B">
        <w:t xml:space="preserve">, rappresenta la </w:t>
      </w:r>
      <w:r>
        <w:t xml:space="preserve">piattaforma </w:t>
      </w:r>
      <w:r w:rsidRPr="001E087B">
        <w:t xml:space="preserve">ideale per prodotti di serie realizzati a partire da piccoli volumi. Nel caso di progetti specifici, il bundle aReady. </w:t>
      </w:r>
      <w:r>
        <w:t>c</w:t>
      </w:r>
      <w:r w:rsidRPr="001E087B">
        <w:t xml:space="preserve">ompleto assicura un'elevata convenienza e sicurezza in fase di design. Le </w:t>
      </w:r>
      <w:r>
        <w:t>possibili configurazioni, a esempio, possono includere il sistema operativo ctrlX di Bosch Rexroth pre-installato e macchine virtuali per l'esecuzione di compiti quali controllo in real-time, interfaccia operatore (HMI), AI, scambio di dati tra applicazioni IIoT, firewall e funzioni di gestione/manutenzione</w:t>
      </w:r>
      <w:r w:rsidRPr="001E087B">
        <w:t>. Entrambe le opzioni di acquisto sono adatte agli OEM che desiderano sviluppare progetti di sistemi sostenibili basati su componenti standard. Le configurazioni COTS modulari sono destinate principalmente a OEM, integratori di sistemi e VAR che realizzano serie e famiglie di prodotti industriali in piccoli volumi. La sostenibilità della soluzione è dovuta alla possibilità di sostituire solo il modulo quando cambiano i requisiti in termini di prestazioni e funzionalità, anziché l'hardware nel suo complesso</w:t>
      </w:r>
      <w:r>
        <w:t>.</w:t>
      </w:r>
    </w:p>
    <w:p w14:paraId="61FC66B2" w14:textId="77777777" w:rsidR="0074229E" w:rsidRPr="00853157" w:rsidRDefault="0074229E" w:rsidP="0074229E">
      <w:r w:rsidRPr="00853157">
        <w:t xml:space="preserve"> </w:t>
      </w:r>
    </w:p>
    <w:p w14:paraId="2AFCB2C7" w14:textId="77777777" w:rsidR="0074229E" w:rsidRPr="001E087B" w:rsidRDefault="0074229E" w:rsidP="0074229E">
      <w:r w:rsidRPr="001E087B">
        <w:t xml:space="preserve">Entrambe le opzioni, che </w:t>
      </w:r>
      <w:r>
        <w:t>consentono di implementare</w:t>
      </w:r>
      <w:r w:rsidRPr="001E087B">
        <w:t xml:space="preserve"> </w:t>
      </w:r>
      <w:r>
        <w:t xml:space="preserve">una </w:t>
      </w:r>
      <w:r w:rsidRPr="001E087B">
        <w:t>piattaform</w:t>
      </w:r>
      <w:r>
        <w:t>a</w:t>
      </w:r>
      <w:r w:rsidRPr="001E087B">
        <w:t xml:space="preserve"> di elaborazione embedded modular</w:t>
      </w:r>
      <w:r>
        <w:t>e</w:t>
      </w:r>
      <w:r w:rsidRPr="001E087B">
        <w:t xml:space="preserve"> per applicazioni specifiche in formato 3,5”, si propongono come un'eccellente base tecnologica che permette di effettuare la prototipazione in tempi brevi e di </w:t>
      </w:r>
      <w:r>
        <w:t xml:space="preserve">bilanciare in maniera ottimale </w:t>
      </w:r>
      <w:r w:rsidRPr="001E087B">
        <w:t xml:space="preserve">prezzo e prestazioni attraverso un'attenta scelta dei processori. </w:t>
      </w:r>
      <w:r>
        <w:t xml:space="preserve">Grazie alle </w:t>
      </w:r>
      <w:r w:rsidRPr="001E087B">
        <w:t>versioni della scheda carrier personalizzate</w:t>
      </w:r>
      <w:r>
        <w:t xml:space="preserve">, gli </w:t>
      </w:r>
      <w:r w:rsidRPr="001E087B">
        <w:t xml:space="preserve">OEM </w:t>
      </w:r>
      <w:r>
        <w:t>possono</w:t>
      </w:r>
      <w:r w:rsidRPr="001E087B">
        <w:t xml:space="preserve"> realizzare progetti </w:t>
      </w:r>
      <w:r>
        <w:t xml:space="preserve">dedicati </w:t>
      </w:r>
      <w:r w:rsidRPr="001E087B">
        <w:t xml:space="preserve">con oneri minimi in fase di sviluppo. In questo modo è possibile diminuire i costi, ridurre il time-to-market e proteggere gli investimenti </w:t>
      </w:r>
      <w:r>
        <w:t xml:space="preserve">effettuati </w:t>
      </w:r>
      <w:r w:rsidRPr="001E087B">
        <w:t xml:space="preserve">in progetti di schede carrier specifiche sul lungo periodo in quanto per gli aggiornamenti è sufficiente </w:t>
      </w:r>
      <w:r>
        <w:t xml:space="preserve">eseguire una sostituzione </w:t>
      </w:r>
      <w:r w:rsidRPr="001E087B">
        <w:t xml:space="preserve">con </w:t>
      </w:r>
      <w:r>
        <w:t xml:space="preserve">moduli </w:t>
      </w:r>
      <w:r w:rsidRPr="001E087B">
        <w:t>equipaggiati con processori di generazioni e produttori differenti. L'abbinamento del modulo COM e della relativa scheda carrier consente di produrre volumi più elevati a prezzi competitivi.</w:t>
      </w:r>
    </w:p>
    <w:p w14:paraId="3B63364A" w14:textId="77777777" w:rsidR="0074229E" w:rsidRPr="0074229E" w:rsidRDefault="0074229E" w:rsidP="0074229E"/>
    <w:p w14:paraId="68267EFC" w14:textId="77777777" w:rsidR="0074229E" w:rsidRPr="001E087B" w:rsidRDefault="0074229E" w:rsidP="0074229E">
      <w:r w:rsidRPr="001E087B">
        <w:t xml:space="preserve">“Ridurre al minimo gli oneri di integrazione – ha commentato Jürgen Jungbauer, Senior Product Line Manager di congatec – rappresenta un notevole valore aggiunto per </w:t>
      </w:r>
      <w:r>
        <w:t>i</w:t>
      </w:r>
      <w:r w:rsidRPr="001E087B">
        <w:t xml:space="preserve"> nostri clienti. Per quanto concerne </w:t>
      </w:r>
      <w:r>
        <w:t>i</w:t>
      </w:r>
      <w:r w:rsidRPr="001E087B">
        <w:t xml:space="preserve"> moduli COM, che rappresentano l'attività principale della </w:t>
      </w:r>
      <w:r w:rsidRPr="001E087B">
        <w:lastRenderedPageBreak/>
        <w:t xml:space="preserve">nostra società, sia le schede carrier COTS sia la strategia aReady. </w:t>
      </w:r>
      <w:r>
        <w:t>c</w:t>
      </w:r>
      <w:r w:rsidRPr="001E087B">
        <w:t xml:space="preserve">he prevede la disponibilità di moduli con </w:t>
      </w:r>
      <w:r>
        <w:t>hypervisor, sistema operativo e configurazioni software per applicazioni IIoT</w:t>
      </w:r>
      <w:r w:rsidRPr="001E087B">
        <w:t xml:space="preserve"> già pre-installate, rappresentano importanti vantaggi aggiuntivi che ora possiamo offrire agli utenti dei nostri moduli. I progetti personalizzati, realizzati attraverso i nostri servizi di design-in, rappresentano il passo successivo per ridurre ulteriormente il carico di lavoro degli OEM”.</w:t>
      </w:r>
    </w:p>
    <w:p w14:paraId="27E27C0A" w14:textId="77777777" w:rsidR="0074229E" w:rsidRPr="001E087B" w:rsidRDefault="0074229E" w:rsidP="0074229E"/>
    <w:p w14:paraId="184FC2A3" w14:textId="3A662300" w:rsidR="0074229E" w:rsidRPr="0074229E" w:rsidRDefault="0074229E" w:rsidP="0074229E">
      <w:pPr>
        <w:rPr>
          <w:b/>
          <w:bCs/>
        </w:rPr>
      </w:pPr>
      <w:r w:rsidRPr="0074229E">
        <w:rPr>
          <w:b/>
          <w:bCs/>
        </w:rPr>
        <w:t>Uno sguardo in profondità</w:t>
      </w:r>
    </w:p>
    <w:p w14:paraId="46EA973E" w14:textId="77777777" w:rsidR="0074229E" w:rsidRPr="001E087B" w:rsidRDefault="0074229E" w:rsidP="0074229E">
      <w:pPr>
        <w:rPr>
          <w:color w:val="000000"/>
        </w:rPr>
      </w:pPr>
      <w:r w:rsidRPr="001E087B">
        <w:t>La scheda carrier conga-HPC/3.5-Mini da 3,5” è stata progettata per l'utilizzo con i moduli COM-HPC Mini, disponibili in sette diverse versioni equipaggiate con processori Intel Core di 13a generazione:</w:t>
      </w:r>
    </w:p>
    <w:p w14:paraId="30B90FEC" w14:textId="77777777" w:rsidR="0074229E" w:rsidRPr="001E087B" w:rsidRDefault="0074229E" w:rsidP="0074229E">
      <w:pPr>
        <w:rPr>
          <w:color w:val="000000"/>
        </w:rPr>
      </w:pPr>
    </w:p>
    <w:tbl>
      <w:tblPr>
        <w:tblW w:w="0" w:type="auto"/>
        <w:tblLayout w:type="fixed"/>
        <w:tblLook w:val="0000" w:firstRow="0" w:lastRow="0" w:firstColumn="0" w:lastColumn="0" w:noHBand="0" w:noVBand="0"/>
      </w:tblPr>
      <w:tblGrid>
        <w:gridCol w:w="2126"/>
        <w:gridCol w:w="282"/>
        <w:gridCol w:w="851"/>
        <w:gridCol w:w="236"/>
        <w:gridCol w:w="1323"/>
        <w:gridCol w:w="236"/>
        <w:gridCol w:w="1181"/>
        <w:gridCol w:w="236"/>
        <w:gridCol w:w="1040"/>
        <w:gridCol w:w="236"/>
        <w:gridCol w:w="852"/>
      </w:tblGrid>
      <w:tr w:rsidR="0074229E" w14:paraId="4FDF6BC3" w14:textId="77777777" w:rsidTr="00B618D9">
        <w:tc>
          <w:tcPr>
            <w:tcW w:w="2126" w:type="dxa"/>
            <w:tcBorders>
              <w:bottom w:val="single" w:sz="8" w:space="0" w:color="000000"/>
            </w:tcBorders>
            <w:shd w:val="clear" w:color="auto" w:fill="FFFFFF"/>
            <w:vAlign w:val="center"/>
          </w:tcPr>
          <w:p w14:paraId="46A4A7E0" w14:textId="77777777" w:rsidR="0074229E" w:rsidRDefault="0074229E" w:rsidP="00B618D9">
            <w:pPr>
              <w:spacing w:line="100" w:lineRule="atLeast"/>
              <w:rPr>
                <w:b/>
                <w:sz w:val="18"/>
                <w:szCs w:val="18"/>
                <w:lang w:val="en-US"/>
              </w:rPr>
            </w:pPr>
            <w:r>
              <w:rPr>
                <w:b/>
                <w:sz w:val="18"/>
                <w:szCs w:val="18"/>
                <w:lang w:val="en-US"/>
              </w:rPr>
              <w:t>Processore</w:t>
            </w:r>
          </w:p>
        </w:tc>
        <w:tc>
          <w:tcPr>
            <w:tcW w:w="282" w:type="dxa"/>
            <w:shd w:val="clear" w:color="auto" w:fill="FFFFFF"/>
            <w:vAlign w:val="center"/>
          </w:tcPr>
          <w:p w14:paraId="35C91FBB" w14:textId="77777777" w:rsidR="0074229E" w:rsidRDefault="0074229E" w:rsidP="00B618D9">
            <w:pPr>
              <w:snapToGrid w:val="0"/>
              <w:spacing w:line="100" w:lineRule="atLeast"/>
              <w:rPr>
                <w:b/>
                <w:sz w:val="18"/>
                <w:szCs w:val="18"/>
                <w:lang w:val="en-US"/>
              </w:rPr>
            </w:pPr>
          </w:p>
        </w:tc>
        <w:tc>
          <w:tcPr>
            <w:tcW w:w="851" w:type="dxa"/>
            <w:tcBorders>
              <w:bottom w:val="single" w:sz="8" w:space="0" w:color="000000"/>
            </w:tcBorders>
            <w:shd w:val="clear" w:color="auto" w:fill="FFFFFF"/>
            <w:vAlign w:val="center"/>
          </w:tcPr>
          <w:p w14:paraId="7FD31D39" w14:textId="77777777" w:rsidR="0074229E" w:rsidRDefault="0074229E" w:rsidP="00B618D9">
            <w:pPr>
              <w:spacing w:line="100" w:lineRule="atLeast"/>
              <w:jc w:val="center"/>
              <w:rPr>
                <w:b/>
                <w:sz w:val="18"/>
                <w:szCs w:val="18"/>
                <w:lang w:val="en-US"/>
              </w:rPr>
            </w:pPr>
            <w:r>
              <w:rPr>
                <w:b/>
                <w:sz w:val="18"/>
                <w:szCs w:val="18"/>
                <w:lang w:val="en-US"/>
              </w:rPr>
              <w:br/>
              <w:t xml:space="preserve"> N° di core/ (P + E)</w:t>
            </w:r>
          </w:p>
        </w:tc>
        <w:tc>
          <w:tcPr>
            <w:tcW w:w="236" w:type="dxa"/>
            <w:shd w:val="clear" w:color="auto" w:fill="FFFFFF"/>
            <w:vAlign w:val="center"/>
          </w:tcPr>
          <w:p w14:paraId="6115212C" w14:textId="77777777" w:rsidR="0074229E" w:rsidRDefault="0074229E" w:rsidP="00B618D9">
            <w:pPr>
              <w:snapToGrid w:val="0"/>
              <w:spacing w:line="100" w:lineRule="atLeast"/>
              <w:jc w:val="center"/>
              <w:rPr>
                <w:b/>
                <w:sz w:val="18"/>
                <w:szCs w:val="18"/>
                <w:lang w:val="en-US"/>
              </w:rPr>
            </w:pPr>
          </w:p>
        </w:tc>
        <w:tc>
          <w:tcPr>
            <w:tcW w:w="1323" w:type="dxa"/>
            <w:tcBorders>
              <w:bottom w:val="single" w:sz="8" w:space="0" w:color="000000"/>
            </w:tcBorders>
            <w:shd w:val="clear" w:color="auto" w:fill="FFFFFF"/>
            <w:vAlign w:val="center"/>
          </w:tcPr>
          <w:p w14:paraId="02A66C6E" w14:textId="77777777" w:rsidR="0074229E" w:rsidRDefault="0074229E" w:rsidP="00B618D9">
            <w:pPr>
              <w:spacing w:line="100" w:lineRule="atLeast"/>
              <w:jc w:val="center"/>
              <w:rPr>
                <w:b/>
                <w:sz w:val="18"/>
                <w:szCs w:val="18"/>
              </w:rPr>
            </w:pPr>
            <w:r>
              <w:rPr>
                <w:b/>
                <w:sz w:val="18"/>
                <w:szCs w:val="18"/>
              </w:rPr>
              <w:t xml:space="preserve">Frequenza </w:t>
            </w:r>
            <w:r w:rsidRPr="001E087B">
              <w:rPr>
                <w:b/>
                <w:sz w:val="18"/>
                <w:szCs w:val="18"/>
              </w:rPr>
              <w:t xml:space="preserve">Max. Turbo </w:t>
            </w:r>
            <w:r>
              <w:rPr>
                <w:b/>
                <w:sz w:val="18"/>
                <w:szCs w:val="18"/>
              </w:rPr>
              <w:t>[</w:t>
            </w:r>
            <w:r w:rsidRPr="001E087B">
              <w:rPr>
                <w:b/>
                <w:sz w:val="18"/>
                <w:szCs w:val="18"/>
              </w:rPr>
              <w:t xml:space="preserve">GHz] </w:t>
            </w:r>
          </w:p>
          <w:p w14:paraId="459A6A76" w14:textId="77777777" w:rsidR="0074229E" w:rsidRPr="001E087B" w:rsidRDefault="0074229E" w:rsidP="00B618D9">
            <w:pPr>
              <w:spacing w:line="100" w:lineRule="atLeast"/>
              <w:jc w:val="center"/>
              <w:rPr>
                <w:b/>
                <w:sz w:val="18"/>
                <w:szCs w:val="18"/>
              </w:rPr>
            </w:pPr>
            <w:r w:rsidRPr="001E087B">
              <w:rPr>
                <w:b/>
                <w:sz w:val="18"/>
                <w:szCs w:val="18"/>
              </w:rPr>
              <w:t>P-Core / E</w:t>
            </w:r>
            <w:r w:rsidRPr="001E087B">
              <w:rPr>
                <w:b/>
                <w:sz w:val="18"/>
                <w:szCs w:val="18"/>
              </w:rPr>
              <w:noBreakHyphen/>
              <w:t>Core</w:t>
            </w:r>
            <w:r w:rsidRPr="001E087B">
              <w:rPr>
                <w:b/>
                <w:sz w:val="18"/>
                <w:szCs w:val="18"/>
              </w:rPr>
              <w:br/>
            </w:r>
          </w:p>
        </w:tc>
        <w:tc>
          <w:tcPr>
            <w:tcW w:w="236" w:type="dxa"/>
            <w:shd w:val="clear" w:color="auto" w:fill="FFFFFF"/>
          </w:tcPr>
          <w:p w14:paraId="4FF31B0B" w14:textId="77777777" w:rsidR="0074229E" w:rsidRPr="001E087B" w:rsidRDefault="0074229E" w:rsidP="00B618D9">
            <w:pPr>
              <w:snapToGrid w:val="0"/>
              <w:spacing w:line="100" w:lineRule="atLeast"/>
              <w:jc w:val="center"/>
              <w:rPr>
                <w:b/>
                <w:sz w:val="18"/>
                <w:szCs w:val="18"/>
              </w:rPr>
            </w:pPr>
          </w:p>
        </w:tc>
        <w:tc>
          <w:tcPr>
            <w:tcW w:w="1181" w:type="dxa"/>
            <w:tcBorders>
              <w:bottom w:val="single" w:sz="8" w:space="0" w:color="000000"/>
            </w:tcBorders>
            <w:shd w:val="clear" w:color="auto" w:fill="FFFFFF"/>
            <w:vAlign w:val="center"/>
          </w:tcPr>
          <w:p w14:paraId="3C614E3C" w14:textId="77777777" w:rsidR="0074229E" w:rsidRPr="001E087B" w:rsidRDefault="0074229E" w:rsidP="00B618D9">
            <w:pPr>
              <w:spacing w:line="100" w:lineRule="atLeast"/>
              <w:jc w:val="center"/>
              <w:rPr>
                <w:b/>
                <w:sz w:val="18"/>
                <w:szCs w:val="18"/>
              </w:rPr>
            </w:pPr>
            <w:r>
              <w:rPr>
                <w:b/>
                <w:sz w:val="18"/>
                <w:szCs w:val="18"/>
              </w:rPr>
              <w:t>Frequenzab</w:t>
            </w:r>
            <w:r w:rsidRPr="001E087B">
              <w:rPr>
                <w:b/>
                <w:sz w:val="18"/>
                <w:szCs w:val="18"/>
              </w:rPr>
              <w:t xml:space="preserve">ase </w:t>
            </w:r>
            <w:r w:rsidRPr="001E087B">
              <w:rPr>
                <w:b/>
                <w:sz w:val="18"/>
                <w:szCs w:val="18"/>
              </w:rPr>
              <w:br/>
              <w:t>[GHz] P</w:t>
            </w:r>
            <w:r w:rsidRPr="001E087B">
              <w:rPr>
                <w:b/>
                <w:sz w:val="18"/>
                <w:szCs w:val="18"/>
              </w:rPr>
              <w:noBreakHyphen/>
              <w:t>Core / E</w:t>
            </w:r>
            <w:r w:rsidRPr="001E087B">
              <w:rPr>
                <w:b/>
                <w:sz w:val="18"/>
                <w:szCs w:val="18"/>
              </w:rPr>
              <w:noBreakHyphen/>
              <w:t>Core</w:t>
            </w:r>
          </w:p>
        </w:tc>
        <w:tc>
          <w:tcPr>
            <w:tcW w:w="236" w:type="dxa"/>
            <w:shd w:val="clear" w:color="auto" w:fill="FFFFFF"/>
            <w:vAlign w:val="center"/>
          </w:tcPr>
          <w:p w14:paraId="7C033A72" w14:textId="77777777" w:rsidR="0074229E" w:rsidRPr="001E087B" w:rsidRDefault="0074229E" w:rsidP="00B618D9">
            <w:pPr>
              <w:snapToGrid w:val="0"/>
              <w:spacing w:line="100" w:lineRule="atLeast"/>
              <w:jc w:val="center"/>
              <w:rPr>
                <w:b/>
                <w:sz w:val="18"/>
                <w:szCs w:val="18"/>
              </w:rPr>
            </w:pPr>
          </w:p>
        </w:tc>
        <w:tc>
          <w:tcPr>
            <w:tcW w:w="1040" w:type="dxa"/>
            <w:tcBorders>
              <w:bottom w:val="single" w:sz="8" w:space="0" w:color="000000"/>
            </w:tcBorders>
            <w:shd w:val="clear" w:color="auto" w:fill="FFFFFF"/>
            <w:vAlign w:val="center"/>
          </w:tcPr>
          <w:p w14:paraId="22E621C6" w14:textId="77777777" w:rsidR="0074229E" w:rsidRDefault="0074229E" w:rsidP="00B618D9">
            <w:pPr>
              <w:spacing w:line="100" w:lineRule="atLeast"/>
              <w:jc w:val="center"/>
              <w:rPr>
                <w:b/>
                <w:sz w:val="18"/>
                <w:szCs w:val="18"/>
                <w:lang w:val="en-US"/>
              </w:rPr>
            </w:pPr>
            <w:r>
              <w:rPr>
                <w:b/>
                <w:sz w:val="18"/>
                <w:szCs w:val="18"/>
                <w:lang w:val="en-US"/>
              </w:rPr>
              <w:t>Cache [MB]</w:t>
            </w:r>
          </w:p>
        </w:tc>
        <w:tc>
          <w:tcPr>
            <w:tcW w:w="236" w:type="dxa"/>
            <w:shd w:val="clear" w:color="auto" w:fill="FFFFFF"/>
          </w:tcPr>
          <w:p w14:paraId="71AA743B" w14:textId="77777777" w:rsidR="0074229E" w:rsidRDefault="0074229E" w:rsidP="00B618D9">
            <w:pPr>
              <w:snapToGrid w:val="0"/>
              <w:spacing w:line="100" w:lineRule="atLeast"/>
              <w:jc w:val="center"/>
              <w:rPr>
                <w:b/>
                <w:sz w:val="18"/>
                <w:szCs w:val="18"/>
                <w:lang w:val="en-US"/>
              </w:rPr>
            </w:pPr>
          </w:p>
        </w:tc>
        <w:tc>
          <w:tcPr>
            <w:tcW w:w="852" w:type="dxa"/>
            <w:tcBorders>
              <w:bottom w:val="single" w:sz="8" w:space="0" w:color="000000"/>
            </w:tcBorders>
            <w:shd w:val="clear" w:color="auto" w:fill="FFFFFF"/>
            <w:vAlign w:val="center"/>
          </w:tcPr>
          <w:p w14:paraId="3339EA54" w14:textId="77777777" w:rsidR="0074229E" w:rsidRDefault="0074229E" w:rsidP="00B618D9">
            <w:pPr>
              <w:spacing w:line="100" w:lineRule="atLeast"/>
              <w:jc w:val="center"/>
            </w:pPr>
            <w:r w:rsidRPr="001E087B">
              <w:rPr>
                <w:b/>
                <w:sz w:val="18"/>
                <w:szCs w:val="18"/>
              </w:rPr>
              <w:t>Potenza base CPU [W]</w:t>
            </w:r>
          </w:p>
        </w:tc>
      </w:tr>
      <w:tr w:rsidR="0074229E" w14:paraId="67D9D6A2" w14:textId="77777777" w:rsidTr="00B618D9">
        <w:tc>
          <w:tcPr>
            <w:tcW w:w="2126" w:type="dxa"/>
            <w:tcBorders>
              <w:bottom w:val="single" w:sz="8" w:space="0" w:color="000000"/>
            </w:tcBorders>
            <w:shd w:val="clear" w:color="auto" w:fill="FFFFFF"/>
            <w:vAlign w:val="center"/>
          </w:tcPr>
          <w:p w14:paraId="4935EA1C" w14:textId="77777777" w:rsidR="0074229E" w:rsidRDefault="0074229E" w:rsidP="00B618D9">
            <w:pPr>
              <w:spacing w:line="100" w:lineRule="atLeast"/>
              <w:rPr>
                <w:b/>
                <w:sz w:val="18"/>
                <w:szCs w:val="18"/>
                <w:lang w:val="en-US"/>
              </w:rPr>
            </w:pPr>
          </w:p>
        </w:tc>
        <w:tc>
          <w:tcPr>
            <w:tcW w:w="282" w:type="dxa"/>
            <w:shd w:val="clear" w:color="auto" w:fill="FFFFFF"/>
            <w:vAlign w:val="center"/>
          </w:tcPr>
          <w:p w14:paraId="34631EF2" w14:textId="77777777" w:rsidR="0074229E" w:rsidRDefault="0074229E" w:rsidP="00B618D9">
            <w:pPr>
              <w:snapToGrid w:val="0"/>
              <w:spacing w:line="100" w:lineRule="atLeast"/>
              <w:rPr>
                <w:b/>
                <w:sz w:val="18"/>
                <w:szCs w:val="18"/>
                <w:lang w:val="en-US"/>
              </w:rPr>
            </w:pPr>
          </w:p>
        </w:tc>
        <w:tc>
          <w:tcPr>
            <w:tcW w:w="851" w:type="dxa"/>
            <w:tcBorders>
              <w:bottom w:val="single" w:sz="8" w:space="0" w:color="000000"/>
            </w:tcBorders>
            <w:shd w:val="clear" w:color="auto" w:fill="FFFFFF"/>
            <w:vAlign w:val="center"/>
          </w:tcPr>
          <w:p w14:paraId="59A6FD88" w14:textId="77777777" w:rsidR="0074229E" w:rsidRDefault="0074229E" w:rsidP="00B618D9">
            <w:pPr>
              <w:spacing w:line="100" w:lineRule="atLeast"/>
              <w:jc w:val="center"/>
              <w:rPr>
                <w:b/>
                <w:sz w:val="18"/>
                <w:szCs w:val="18"/>
                <w:lang w:val="en-US"/>
              </w:rPr>
            </w:pPr>
          </w:p>
        </w:tc>
        <w:tc>
          <w:tcPr>
            <w:tcW w:w="236" w:type="dxa"/>
            <w:shd w:val="clear" w:color="auto" w:fill="FFFFFF"/>
            <w:vAlign w:val="center"/>
          </w:tcPr>
          <w:p w14:paraId="76593F84" w14:textId="77777777" w:rsidR="0074229E" w:rsidRDefault="0074229E" w:rsidP="00B618D9">
            <w:pPr>
              <w:snapToGrid w:val="0"/>
              <w:spacing w:line="100" w:lineRule="atLeast"/>
              <w:jc w:val="center"/>
              <w:rPr>
                <w:b/>
                <w:sz w:val="18"/>
                <w:szCs w:val="18"/>
                <w:lang w:val="en-US"/>
              </w:rPr>
            </w:pPr>
          </w:p>
        </w:tc>
        <w:tc>
          <w:tcPr>
            <w:tcW w:w="1323" w:type="dxa"/>
            <w:tcBorders>
              <w:bottom w:val="single" w:sz="8" w:space="0" w:color="000000"/>
            </w:tcBorders>
            <w:shd w:val="clear" w:color="auto" w:fill="FFFFFF"/>
            <w:vAlign w:val="center"/>
          </w:tcPr>
          <w:p w14:paraId="58E6A77C" w14:textId="77777777" w:rsidR="0074229E" w:rsidRDefault="0074229E" w:rsidP="00B618D9">
            <w:pPr>
              <w:spacing w:line="100" w:lineRule="atLeast"/>
              <w:jc w:val="center"/>
              <w:rPr>
                <w:b/>
                <w:sz w:val="18"/>
                <w:szCs w:val="18"/>
              </w:rPr>
            </w:pPr>
          </w:p>
        </w:tc>
        <w:tc>
          <w:tcPr>
            <w:tcW w:w="236" w:type="dxa"/>
            <w:shd w:val="clear" w:color="auto" w:fill="FFFFFF"/>
          </w:tcPr>
          <w:p w14:paraId="23B415B1" w14:textId="77777777" w:rsidR="0074229E" w:rsidRPr="001E087B" w:rsidRDefault="0074229E" w:rsidP="00B618D9">
            <w:pPr>
              <w:snapToGrid w:val="0"/>
              <w:spacing w:line="100" w:lineRule="atLeast"/>
              <w:jc w:val="center"/>
              <w:rPr>
                <w:b/>
                <w:sz w:val="18"/>
                <w:szCs w:val="18"/>
              </w:rPr>
            </w:pPr>
          </w:p>
        </w:tc>
        <w:tc>
          <w:tcPr>
            <w:tcW w:w="1181" w:type="dxa"/>
            <w:tcBorders>
              <w:bottom w:val="single" w:sz="8" w:space="0" w:color="000000"/>
            </w:tcBorders>
            <w:shd w:val="clear" w:color="auto" w:fill="FFFFFF"/>
            <w:vAlign w:val="center"/>
          </w:tcPr>
          <w:p w14:paraId="4EB0F261" w14:textId="77777777" w:rsidR="0074229E" w:rsidRDefault="0074229E" w:rsidP="00B618D9">
            <w:pPr>
              <w:spacing w:line="100" w:lineRule="atLeast"/>
              <w:jc w:val="center"/>
              <w:rPr>
                <w:b/>
                <w:sz w:val="18"/>
                <w:szCs w:val="18"/>
              </w:rPr>
            </w:pPr>
          </w:p>
        </w:tc>
        <w:tc>
          <w:tcPr>
            <w:tcW w:w="236" w:type="dxa"/>
            <w:shd w:val="clear" w:color="auto" w:fill="FFFFFF"/>
            <w:vAlign w:val="center"/>
          </w:tcPr>
          <w:p w14:paraId="754F4D39" w14:textId="77777777" w:rsidR="0074229E" w:rsidRPr="001E087B" w:rsidRDefault="0074229E" w:rsidP="00B618D9">
            <w:pPr>
              <w:snapToGrid w:val="0"/>
              <w:spacing w:line="100" w:lineRule="atLeast"/>
              <w:jc w:val="center"/>
              <w:rPr>
                <w:b/>
                <w:sz w:val="18"/>
                <w:szCs w:val="18"/>
              </w:rPr>
            </w:pPr>
          </w:p>
        </w:tc>
        <w:tc>
          <w:tcPr>
            <w:tcW w:w="1040" w:type="dxa"/>
            <w:tcBorders>
              <w:bottom w:val="single" w:sz="8" w:space="0" w:color="000000"/>
            </w:tcBorders>
            <w:shd w:val="clear" w:color="auto" w:fill="FFFFFF"/>
            <w:vAlign w:val="center"/>
          </w:tcPr>
          <w:p w14:paraId="7E5289AD" w14:textId="77777777" w:rsidR="0074229E" w:rsidRDefault="0074229E" w:rsidP="00B618D9">
            <w:pPr>
              <w:spacing w:line="100" w:lineRule="atLeast"/>
              <w:jc w:val="center"/>
              <w:rPr>
                <w:b/>
                <w:sz w:val="18"/>
                <w:szCs w:val="18"/>
                <w:lang w:val="en-US"/>
              </w:rPr>
            </w:pPr>
          </w:p>
        </w:tc>
        <w:tc>
          <w:tcPr>
            <w:tcW w:w="236" w:type="dxa"/>
            <w:shd w:val="clear" w:color="auto" w:fill="FFFFFF"/>
          </w:tcPr>
          <w:p w14:paraId="3F78A95C" w14:textId="77777777" w:rsidR="0074229E" w:rsidRDefault="0074229E" w:rsidP="00B618D9">
            <w:pPr>
              <w:snapToGrid w:val="0"/>
              <w:spacing w:line="100" w:lineRule="atLeast"/>
              <w:jc w:val="center"/>
              <w:rPr>
                <w:b/>
                <w:sz w:val="18"/>
                <w:szCs w:val="18"/>
                <w:lang w:val="en-US"/>
              </w:rPr>
            </w:pPr>
          </w:p>
        </w:tc>
        <w:tc>
          <w:tcPr>
            <w:tcW w:w="852" w:type="dxa"/>
            <w:tcBorders>
              <w:bottom w:val="single" w:sz="8" w:space="0" w:color="000000"/>
            </w:tcBorders>
            <w:shd w:val="clear" w:color="auto" w:fill="FFFFFF"/>
            <w:vAlign w:val="center"/>
          </w:tcPr>
          <w:p w14:paraId="1305FD79" w14:textId="77777777" w:rsidR="0074229E" w:rsidRPr="001E087B" w:rsidRDefault="0074229E" w:rsidP="00B618D9">
            <w:pPr>
              <w:spacing w:line="100" w:lineRule="atLeast"/>
              <w:jc w:val="center"/>
              <w:rPr>
                <w:b/>
                <w:sz w:val="18"/>
                <w:szCs w:val="18"/>
              </w:rPr>
            </w:pPr>
          </w:p>
        </w:tc>
      </w:tr>
    </w:tbl>
    <w:p w14:paraId="2B0BF03A" w14:textId="77777777" w:rsidR="0074229E" w:rsidRDefault="0074229E" w:rsidP="0074229E"/>
    <w:p w14:paraId="040B9FB7" w14:textId="77777777" w:rsidR="0074229E" w:rsidRPr="00007DDC" w:rsidRDefault="0074229E" w:rsidP="0074229E">
      <w:r w:rsidRPr="00C66520">
        <w:t xml:space="preserve">Essendo una scheda carrier ad alte prestazioni di impiego universale destinata ad ambienti gravosi, conga-HPC/3.5-Mini supporta una pluralità di interfacce, </w:t>
      </w:r>
      <w:r>
        <w:t xml:space="preserve">tra cui </w:t>
      </w:r>
      <w:r w:rsidRPr="00C66520">
        <w:t>2</w:t>
      </w:r>
      <w:r>
        <w:t xml:space="preserve"> porte</w:t>
      </w:r>
      <w:r w:rsidRPr="00C66520">
        <w:t xml:space="preserve"> RJ45 </w:t>
      </w:r>
      <w:r>
        <w:t xml:space="preserve">per cavi </w:t>
      </w:r>
      <w:r w:rsidRPr="00C66520">
        <w:t>Ethernet, 4 USB type A, 1 USB type C, DP++</w:t>
      </w:r>
      <w:r>
        <w:t xml:space="preserve"> e</w:t>
      </w:r>
      <w:r w:rsidRPr="00C66520">
        <w:t xml:space="preserve"> </w:t>
      </w:r>
      <w:r>
        <w:t xml:space="preserve">opzioni per la connessione di un jack audio esterno a </w:t>
      </w:r>
      <w:r w:rsidRPr="00C66520">
        <w:t>4</w:t>
      </w:r>
      <w:r>
        <w:t xml:space="preserve"> </w:t>
      </w:r>
      <w:r w:rsidRPr="00C66520">
        <w:t xml:space="preserve">pin. Sono previsti tre slot M.2 per la connessione delle schede di espansione, </w:t>
      </w:r>
      <w:r>
        <w:t xml:space="preserve">da utilizzare </w:t>
      </w:r>
      <w:r w:rsidRPr="00C66520">
        <w:t xml:space="preserve">per integrare </w:t>
      </w:r>
      <w:r>
        <w:t xml:space="preserve">ad esempio </w:t>
      </w:r>
      <w:r w:rsidRPr="00C66520">
        <w:t>accele</w:t>
      </w:r>
      <w:r>
        <w:t xml:space="preserve">ratori per l’intelligenza artificiale, funzionalità Wi-Fi, Bluetooth e per la connettività mobile, oltre a mezzi di archiviazione che utilizzano il protocollo NVMe per il trasferimento dati ad alta velocità. </w:t>
      </w:r>
      <w:r w:rsidRPr="00007DDC">
        <w:t xml:space="preserve">Numerose le interfacce esterne disponibili, tra cui USB2, SATA III, HDA </w:t>
      </w:r>
      <w:r>
        <w:t>e</w:t>
      </w:r>
      <w:r w:rsidRPr="00007DDC">
        <w:t xml:space="preserve"> Sound Wire</w:t>
      </w:r>
      <w:r>
        <w:t xml:space="preserve">, oltre a </w:t>
      </w:r>
      <w:r w:rsidRPr="00007DDC">
        <w:t xml:space="preserve">2 UART, CAN, GP SPI, eSPI, 12 GPIO </w:t>
      </w:r>
      <w:r>
        <w:t>e</w:t>
      </w:r>
      <w:r w:rsidRPr="00007DDC">
        <w:t xml:space="preserve"> 2 I2C. </w:t>
      </w:r>
    </w:p>
    <w:p w14:paraId="4CFADD43" w14:textId="77777777" w:rsidR="0074229E" w:rsidRPr="00007DDC" w:rsidRDefault="0074229E" w:rsidP="0074229E"/>
    <w:p w14:paraId="4F072C81" w14:textId="77777777" w:rsidR="0074229E" w:rsidRPr="00007DDC" w:rsidRDefault="0074229E" w:rsidP="0074229E">
      <w:r w:rsidRPr="00007DDC">
        <w:t xml:space="preserve">Maggiori informazioni sulla nuova scheda carrier da 3,5” conga-HPC/3.5-Mini </w:t>
      </w:r>
      <w:r>
        <w:t xml:space="preserve">per modulii COM-HPC Mini </w:t>
      </w:r>
      <w:r w:rsidRPr="00007DDC">
        <w:t>d</w:t>
      </w:r>
      <w:r>
        <w:t>isponibile sul lungo periodo sono disponibili al seguente indirizzo:</w:t>
      </w:r>
      <w:r w:rsidRPr="00007DDC">
        <w:t xml:space="preserve"> LINK</w:t>
      </w:r>
    </w:p>
    <w:p w14:paraId="6143308C" w14:textId="77777777" w:rsidR="0074229E" w:rsidRPr="00007DDC" w:rsidRDefault="0074229E" w:rsidP="0074229E"/>
    <w:p w14:paraId="69AA42F9" w14:textId="77777777" w:rsidR="0074229E" w:rsidRPr="00007DDC" w:rsidRDefault="0074229E" w:rsidP="0074229E">
      <w:r w:rsidRPr="00007DDC">
        <w:t>Ulteriori informazioni sulla nuova versione aReady. del m</w:t>
      </w:r>
      <w:r>
        <w:t xml:space="preserve">odulo </w:t>
      </w:r>
      <w:r w:rsidRPr="00007DDC">
        <w:t xml:space="preserve">conga-aCOM/mRLP </w:t>
      </w:r>
      <w:r>
        <w:t xml:space="preserve">in formato </w:t>
      </w:r>
      <w:r w:rsidRPr="00007DDC">
        <w:t xml:space="preserve">COM-HPC Mini </w:t>
      </w:r>
      <w:r>
        <w:t>sono disponibili all’indirizzo</w:t>
      </w:r>
      <w:r w:rsidRPr="00007DDC">
        <w:t xml:space="preserve">: </w:t>
      </w:r>
      <w:hyperlink r:id="rId9" w:history="1">
        <w:r w:rsidRPr="00007DDC">
          <w:rPr>
            <w:rStyle w:val="Hyperlink"/>
          </w:rPr>
          <w:t>https://www.congatec.com/en/products/acom/conga-acommrlp/</w:t>
        </w:r>
      </w:hyperlink>
      <w:r w:rsidRPr="00007DDC">
        <w:t xml:space="preserve"> </w:t>
      </w:r>
    </w:p>
    <w:p w14:paraId="43D83BAC" w14:textId="77777777" w:rsidR="0074229E" w:rsidRDefault="0074229E" w:rsidP="0074229E"/>
    <w:p w14:paraId="597620EE" w14:textId="77777777" w:rsidR="0074229E" w:rsidRPr="00007DDC" w:rsidRDefault="0074229E" w:rsidP="0074229E">
      <w:r>
        <w:lastRenderedPageBreak/>
        <w:t>Ulteriori informazioni sulla strategia aReady e sulle caratteristiche avanzate dei nuovi prodotti aReady.COM di congatec sono disponibili all'indirizzo:</w:t>
      </w:r>
      <w:r w:rsidRPr="00007DDC">
        <w:t xml:space="preserve"> </w:t>
      </w:r>
      <w:r w:rsidRPr="00007DDC">
        <w:rPr>
          <w:color w:val="0000FF"/>
          <w:u w:val="single"/>
        </w:rPr>
        <w:t>https://www.congatec.com/en/aready/</w:t>
      </w:r>
    </w:p>
    <w:p w14:paraId="23DA366F" w14:textId="77777777" w:rsidR="0074229E" w:rsidRDefault="0074229E" w:rsidP="0074229E"/>
    <w:p w14:paraId="0567105A" w14:textId="77777777" w:rsidR="0074229E" w:rsidRPr="00007DDC" w:rsidRDefault="0074229E" w:rsidP="0074229E">
      <w:r>
        <w:t>Questa e numerose altre innovazioni saranno presentate a embedded world dal 9 all'11 aprile 2024. Maggiori informazioni sono disponibili all'indirizzo</w:t>
      </w:r>
    </w:p>
    <w:p w14:paraId="5DEAFFDF" w14:textId="77777777" w:rsidR="0074229E" w:rsidRPr="00007DDC" w:rsidRDefault="00000000" w:rsidP="0074229E">
      <w:pPr>
        <w:pStyle w:val="NormalWeb1"/>
        <w:spacing w:before="0" w:line="360" w:lineRule="auto"/>
        <w:rPr>
          <w:rFonts w:ascii="Arial" w:hAnsi="Arial" w:cs="Arial"/>
          <w:color w:val="000000"/>
          <w:sz w:val="22"/>
          <w:szCs w:val="22"/>
          <w:lang w:val="it-IT"/>
        </w:rPr>
      </w:pPr>
      <w:hyperlink r:id="rId10" w:history="1">
        <w:r w:rsidR="0074229E" w:rsidRPr="00007DDC">
          <w:rPr>
            <w:rStyle w:val="Hyperlink"/>
            <w:rFonts w:ascii="Arial" w:hAnsi="Arial" w:cs="Arial"/>
            <w:sz w:val="22"/>
            <w:szCs w:val="22"/>
            <w:lang w:val="it-IT"/>
          </w:rPr>
          <w:t>https://www.congatec.com/en/congatec/events/congatec-at-embedded-world-2024/</w:t>
        </w:r>
      </w:hyperlink>
      <w:r w:rsidR="0074229E" w:rsidRPr="00007DDC">
        <w:rPr>
          <w:rFonts w:ascii="Arial" w:hAnsi="Arial" w:cs="Arial"/>
          <w:sz w:val="22"/>
          <w:szCs w:val="22"/>
          <w:lang w:val="it-IT"/>
        </w:rPr>
        <w:t xml:space="preserve"> </w:t>
      </w:r>
    </w:p>
    <w:p w14:paraId="1B66EA2D" w14:textId="77777777" w:rsidR="0074229E" w:rsidRDefault="0074229E" w:rsidP="0074229E">
      <w:pPr>
        <w:pStyle w:val="NormalWeb1"/>
        <w:spacing w:before="0" w:line="360" w:lineRule="auto"/>
        <w:rPr>
          <w:rFonts w:ascii="Arial" w:hAnsi="Arial" w:cs="Arial"/>
          <w:color w:val="000000"/>
          <w:sz w:val="22"/>
          <w:szCs w:val="22"/>
          <w:lang w:val="it-IT"/>
        </w:rPr>
      </w:pPr>
    </w:p>
    <w:p w14:paraId="563283DB" w14:textId="77777777" w:rsidR="0074229E" w:rsidRPr="00007DDC" w:rsidRDefault="0074229E" w:rsidP="0074229E">
      <w:pPr>
        <w:pStyle w:val="NormalWeb"/>
        <w:spacing w:before="0" w:beforeAutospacing="0" w:after="0" w:afterAutospacing="0"/>
      </w:pPr>
      <w:r>
        <w:t>Venite a trovarci allo stand congatec (Pad. 3 stand 241)</w:t>
      </w:r>
    </w:p>
    <w:p w14:paraId="7B573C5D" w14:textId="055478F9" w:rsidR="00F77C70" w:rsidRPr="0074229E" w:rsidRDefault="00F77C70" w:rsidP="0074229E">
      <w:pPr>
        <w:rPr>
          <w:b/>
          <w:sz w:val="18"/>
          <w:szCs w:val="18"/>
          <w:lang w:val="en-US"/>
        </w:rPr>
      </w:pPr>
    </w:p>
    <w:p w14:paraId="5CB3C02F" w14:textId="77777777" w:rsidR="00F77C70" w:rsidRDefault="00F77C70">
      <w:pPr>
        <w:pBdr>
          <w:top w:val="nil"/>
          <w:left w:val="nil"/>
          <w:bottom w:val="nil"/>
          <w:right w:val="nil"/>
          <w:between w:val="nil"/>
        </w:pBdr>
        <w:spacing w:line="240" w:lineRule="auto"/>
        <w:rPr>
          <w:rFonts w:eastAsia="Arial"/>
          <w:color w:val="000000"/>
        </w:rPr>
      </w:pPr>
    </w:p>
    <w:p w14:paraId="76E0A369" w14:textId="77777777" w:rsidR="00F77C70" w:rsidRDefault="00000000">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22E9F945"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p w14:paraId="050C84F1" w14:textId="77777777" w:rsidR="00F77C70" w:rsidRDefault="00000000">
      <w:pPr>
        <w:pBdr>
          <w:top w:val="nil"/>
          <w:left w:val="nil"/>
          <w:bottom w:val="nil"/>
          <w:right w:val="nil"/>
          <w:between w:val="nil"/>
        </w:pBdr>
        <w:spacing w:line="240" w:lineRule="auto"/>
        <w:rPr>
          <w:rFonts w:eastAsia="Arial"/>
          <w:b/>
          <w:color w:val="000000"/>
          <w:sz w:val="18"/>
          <w:szCs w:val="18"/>
        </w:rPr>
      </w:pPr>
      <w:r>
        <w:rPr>
          <w:rFonts w:eastAsia="Arial"/>
          <w:b/>
          <w:color w:val="000000"/>
          <w:sz w:val="18"/>
          <w:szCs w:val="18"/>
        </w:rPr>
        <w:t xml:space="preserve">Chi è congatec </w:t>
      </w:r>
    </w:p>
    <w:p w14:paraId="6A511823" w14:textId="2674FBCD" w:rsidR="00F77C70" w:rsidRDefault="00000000" w:rsidP="00EA49D8">
      <w:pPr>
        <w:pBdr>
          <w:top w:val="nil"/>
          <w:left w:val="nil"/>
          <w:bottom w:val="nil"/>
          <w:right w:val="nil"/>
          <w:between w:val="nil"/>
        </w:pBdr>
        <w:spacing w:line="240" w:lineRule="auto"/>
        <w:rPr>
          <w:sz w:val="16"/>
          <w:szCs w:val="16"/>
        </w:rPr>
      </w:pPr>
      <w:r>
        <w:rPr>
          <w:rFonts w:eastAsia="Arial"/>
          <w:color w:val="000000"/>
          <w:sz w:val="18"/>
          <w:szCs w:val="18"/>
        </w:rPr>
        <w:t>Fortemente orientata allo sviluppo tecnologico, congatec è un'azienda focalizzata sulla fornitura di servizi e prodotti per applicazioni embedded e di edge computing. I moduli di elaborazione a elevate prestazioni della società sono utilizzati in una vasta gamma di dispositivi e applicazioni destinati ai settori dell'automazione industriale, della tecnologia medicale, dei robotica e delle telecomunicazioni, oltre che in numerosi altri mercati verticali. Supportata da DBAG Fund VIII, fondo tedesco specializzato nel sostegno di imprese di medie dimensioni che operano in settori industriali ad alto tasso di crescita, che opera in qualità di azionista di riferimento, congatec ha la solidità finanziaria e l'esperienza nelle operazioni di M&amp;A necessarie per sfruttare al meglio le opportunità che si prospettano in questi mercati in rapida espansione.</w:t>
      </w:r>
      <w:r w:rsidR="00EA49D8">
        <w:rPr>
          <w:rFonts w:eastAsia="Arial"/>
          <w:color w:val="000000"/>
          <w:sz w:val="18"/>
          <w:szCs w:val="18"/>
        </w:rPr>
        <w:t xml:space="preserve"> </w:t>
      </w:r>
      <w:r>
        <w:rPr>
          <w:color w:val="000000"/>
          <w:sz w:val="18"/>
          <w:szCs w:val="18"/>
        </w:rPr>
        <w:t xml:space="preserve">congatec è l'azienda leader a livello globale nel comparto dei moduli COM (Computer-on-Module) è può vantare una base di clienti ampia e diversificata, che spazia dalle start-up alle più importanti realtà multinazionali. Ulteriori informazioni sono disponibili sul nostro sito web </w:t>
      </w:r>
      <w:hyperlink r:id="rId11">
        <w:r>
          <w:rPr>
            <w:color w:val="0000FF"/>
            <w:sz w:val="18"/>
            <w:szCs w:val="18"/>
            <w:u w:val="single"/>
          </w:rPr>
          <w:t>www.congatec.com</w:t>
        </w:r>
      </w:hyperlink>
      <w:r>
        <w:rPr>
          <w:color w:val="000000"/>
          <w:sz w:val="18"/>
          <w:szCs w:val="18"/>
        </w:rPr>
        <w:t xml:space="preserve"> oppure attraverso </w:t>
      </w:r>
      <w:hyperlink r:id="rId12">
        <w:r>
          <w:rPr>
            <w:color w:val="0000FF"/>
            <w:sz w:val="18"/>
            <w:szCs w:val="18"/>
            <w:u w:val="single"/>
          </w:rPr>
          <w:t>LinkedIn</w:t>
        </w:r>
      </w:hyperlink>
      <w:r>
        <w:rPr>
          <w:color w:val="000000"/>
          <w:sz w:val="18"/>
          <w:szCs w:val="18"/>
        </w:rPr>
        <w:t xml:space="preserve">, </w:t>
      </w:r>
      <w:hyperlink r:id="rId13" w:history="1">
        <w:r w:rsidRPr="00EA49D8">
          <w:rPr>
            <w:rStyle w:val="Hyperlink"/>
            <w:sz w:val="18"/>
            <w:szCs w:val="18"/>
          </w:rPr>
          <w:t>X</w:t>
        </w:r>
        <w:r w:rsidR="00EA49D8" w:rsidRPr="00EA49D8">
          <w:rPr>
            <w:rStyle w:val="Hyperlink"/>
            <w:sz w:val="18"/>
            <w:szCs w:val="18"/>
          </w:rPr>
          <w:t xml:space="preserve"> (Twitter)</w:t>
        </w:r>
      </w:hyperlink>
      <w:r>
        <w:rPr>
          <w:color w:val="000000"/>
          <w:sz w:val="18"/>
          <w:szCs w:val="18"/>
        </w:rPr>
        <w:t xml:space="preserve"> e </w:t>
      </w:r>
      <w:hyperlink r:id="rId14">
        <w:r>
          <w:rPr>
            <w:color w:val="0000FF"/>
            <w:sz w:val="18"/>
            <w:szCs w:val="18"/>
            <w:u w:val="single"/>
          </w:rPr>
          <w:t>YouTube</w:t>
        </w:r>
      </w:hyperlink>
      <w:r>
        <w:rPr>
          <w:color w:val="000000"/>
          <w:sz w:val="18"/>
          <w:szCs w:val="18"/>
        </w:rPr>
        <w:t>.</w:t>
      </w:r>
    </w:p>
    <w:p w14:paraId="4417DFEA" w14:textId="77777777" w:rsidR="00F77C70" w:rsidRDefault="00000000">
      <w:pPr>
        <w:pBdr>
          <w:top w:val="nil"/>
          <w:left w:val="nil"/>
          <w:bottom w:val="nil"/>
          <w:right w:val="nil"/>
          <w:between w:val="nil"/>
        </w:pBdr>
        <w:spacing w:line="240" w:lineRule="auto"/>
        <w:rPr>
          <w:rFonts w:eastAsia="Arial"/>
          <w:color w:val="000000"/>
          <w:sz w:val="16"/>
          <w:szCs w:val="16"/>
        </w:rPr>
      </w:pPr>
      <w:r>
        <w:rPr>
          <w:rFonts w:eastAsia="Arial"/>
          <w:color w:val="000000"/>
          <w:sz w:val="16"/>
          <w:szCs w:val="16"/>
        </w:rPr>
        <w:t xml:space="preserve">Testo e immagine sono disponibili all'indirizzo: </w:t>
      </w:r>
      <w:hyperlink r:id="rId15">
        <w:r>
          <w:rPr>
            <w:rFonts w:eastAsia="Arial"/>
            <w:color w:val="0000FF"/>
            <w:sz w:val="16"/>
            <w:szCs w:val="16"/>
            <w:u w:val="single"/>
          </w:rPr>
          <w:t>https://www.congatec.com/it/congatec/comunicato-stampa.html</w:t>
        </w:r>
      </w:hyperlink>
      <w:r>
        <w:rPr>
          <w:rFonts w:eastAsia="Arial"/>
          <w:color w:val="000000"/>
          <w:sz w:val="16"/>
          <w:szCs w:val="16"/>
        </w:rPr>
        <w:t xml:space="preserve"> </w:t>
      </w:r>
    </w:p>
    <w:p w14:paraId="62F5EEBF" w14:textId="77777777" w:rsidR="00F77C70" w:rsidRDefault="00F77C70"/>
    <w:p w14:paraId="0FD4EDF5" w14:textId="77777777" w:rsidR="00F77C70" w:rsidRDefault="00000000">
      <w:r>
        <w:rPr>
          <w:i/>
          <w:sz w:val="16"/>
          <w:szCs w:val="16"/>
        </w:rPr>
        <w:t>Intel, il logo Intel e altri marchi Intel sono marchi registrati di Intel Corporation o dele sue filiali.</w:t>
      </w:r>
    </w:p>
    <w:p w14:paraId="76B977F0" w14:textId="77777777" w:rsidR="00F77C70" w:rsidRDefault="00F77C70">
      <w:pPr>
        <w:pBdr>
          <w:top w:val="nil"/>
          <w:left w:val="nil"/>
          <w:bottom w:val="nil"/>
          <w:right w:val="nil"/>
          <w:between w:val="nil"/>
        </w:pBdr>
        <w:spacing w:line="240" w:lineRule="auto"/>
        <w:rPr>
          <w:rFonts w:eastAsia="Arial"/>
          <w:b/>
          <w:color w:val="000000"/>
        </w:rPr>
      </w:pPr>
    </w:p>
    <w:p w14:paraId="443B2B46"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Domande dei lettori:</w:t>
      </w:r>
    </w:p>
    <w:p w14:paraId="2CF7E44A" w14:textId="77777777" w:rsidR="00F77C70" w:rsidRDefault="00000000">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3CFDA5C7"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+49-991-2700-0</w:t>
      </w:r>
    </w:p>
    <w:p w14:paraId="69CD944A"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info@congatec.com </w:t>
      </w:r>
    </w:p>
    <w:p w14:paraId="0EBEC24A" w14:textId="77777777" w:rsidR="00F77C70" w:rsidRDefault="00000000">
      <w:pPr>
        <w:pBdr>
          <w:top w:val="nil"/>
          <w:left w:val="nil"/>
          <w:bottom w:val="nil"/>
          <w:right w:val="nil"/>
          <w:between w:val="nil"/>
        </w:pBdr>
        <w:spacing w:line="240" w:lineRule="auto"/>
        <w:rPr>
          <w:rFonts w:eastAsia="Arial"/>
          <w:color w:val="0000FF"/>
          <w:u w:val="single"/>
        </w:rPr>
      </w:pPr>
      <w:hyperlink r:id="rId16">
        <w:r>
          <w:rPr>
            <w:rFonts w:eastAsia="Arial"/>
            <w:color w:val="0000FF"/>
            <w:u w:val="single"/>
          </w:rPr>
          <w:t>www.congatec.com</w:t>
        </w:r>
      </w:hyperlink>
    </w:p>
    <w:p w14:paraId="47303779" w14:textId="77777777" w:rsidR="00F77C70" w:rsidRDefault="00F77C70">
      <w:pPr>
        <w:pBdr>
          <w:top w:val="nil"/>
          <w:left w:val="nil"/>
          <w:bottom w:val="nil"/>
          <w:right w:val="nil"/>
          <w:between w:val="nil"/>
        </w:pBdr>
        <w:spacing w:line="240" w:lineRule="auto"/>
        <w:rPr>
          <w:rFonts w:eastAsia="Arial"/>
          <w:b/>
          <w:color w:val="000000"/>
        </w:rPr>
      </w:pPr>
    </w:p>
    <w:p w14:paraId="1FCCE557"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Contatto Stampa congatec:</w:t>
      </w:r>
    </w:p>
    <w:p w14:paraId="1286FFEB" w14:textId="77777777" w:rsidR="00F77C70" w:rsidRDefault="00000000">
      <w:pPr>
        <w:pBdr>
          <w:top w:val="nil"/>
          <w:left w:val="nil"/>
          <w:bottom w:val="nil"/>
          <w:right w:val="nil"/>
          <w:between w:val="nil"/>
        </w:pBdr>
        <w:spacing w:line="240" w:lineRule="auto"/>
        <w:rPr>
          <w:rFonts w:eastAsia="Arial"/>
          <w:color w:val="000000"/>
          <w:u w:val="single"/>
        </w:rPr>
      </w:pPr>
      <w:r>
        <w:rPr>
          <w:rFonts w:eastAsia="Arial"/>
          <w:color w:val="000000"/>
        </w:rPr>
        <w:t>congatec</w:t>
      </w:r>
    </w:p>
    <w:p w14:paraId="60148E85"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Christof Wilde</w:t>
      </w:r>
    </w:p>
    <w:p w14:paraId="0FAC6E58" w14:textId="77777777" w:rsidR="00F77C70" w:rsidRDefault="00000000">
      <w:pPr>
        <w:pBdr>
          <w:top w:val="nil"/>
          <w:left w:val="nil"/>
          <w:bottom w:val="nil"/>
          <w:right w:val="nil"/>
          <w:between w:val="nil"/>
        </w:pBdr>
        <w:spacing w:line="240" w:lineRule="auto"/>
        <w:rPr>
          <w:rFonts w:eastAsia="Arial"/>
          <w:b/>
          <w:color w:val="000000"/>
          <w:u w:val="single"/>
        </w:rPr>
      </w:pPr>
      <w:r>
        <w:rPr>
          <w:rFonts w:eastAsia="Arial"/>
          <w:color w:val="000000"/>
        </w:rPr>
        <w:t>Telefon: +49-991-2700-2822</w:t>
      </w:r>
    </w:p>
    <w:p w14:paraId="6511DA44" w14:textId="77777777" w:rsidR="00F77C70" w:rsidRDefault="00000000">
      <w:pPr>
        <w:pBdr>
          <w:top w:val="nil"/>
          <w:left w:val="nil"/>
          <w:bottom w:val="nil"/>
          <w:right w:val="nil"/>
          <w:between w:val="nil"/>
        </w:pBdr>
        <w:spacing w:line="240" w:lineRule="auto"/>
        <w:rPr>
          <w:rFonts w:eastAsia="Arial"/>
          <w:color w:val="0000FF"/>
          <w:u w:val="single"/>
        </w:rPr>
      </w:pPr>
      <w:r>
        <w:rPr>
          <w:rFonts w:eastAsia="Arial"/>
          <w:color w:val="0000FF"/>
          <w:u w:val="single"/>
        </w:rPr>
        <w:t xml:space="preserve">christof.wilde@congatec.com </w:t>
      </w:r>
    </w:p>
    <w:p w14:paraId="78EF5AA9" w14:textId="77777777" w:rsidR="00F77C70" w:rsidRDefault="00F77C70">
      <w:pPr>
        <w:pBdr>
          <w:top w:val="nil"/>
          <w:left w:val="nil"/>
          <w:bottom w:val="nil"/>
          <w:right w:val="nil"/>
          <w:between w:val="nil"/>
        </w:pBdr>
        <w:spacing w:line="240" w:lineRule="auto"/>
        <w:rPr>
          <w:rFonts w:eastAsia="Arial"/>
          <w:color w:val="0000FF"/>
          <w:u w:val="single"/>
        </w:rPr>
      </w:pPr>
    </w:p>
    <w:p w14:paraId="1175FE2F" w14:textId="77777777" w:rsidR="00F77C70" w:rsidRDefault="00000000">
      <w:pPr>
        <w:pBdr>
          <w:top w:val="nil"/>
          <w:left w:val="nil"/>
          <w:bottom w:val="nil"/>
          <w:right w:val="nil"/>
          <w:between w:val="nil"/>
        </w:pBdr>
        <w:spacing w:line="240" w:lineRule="auto"/>
        <w:rPr>
          <w:rFonts w:eastAsia="Arial"/>
          <w:b/>
          <w:color w:val="000000"/>
        </w:rPr>
      </w:pPr>
      <w:r>
        <w:rPr>
          <w:rFonts w:eastAsia="Arial"/>
          <w:b/>
          <w:color w:val="000000"/>
        </w:rPr>
        <w:t>Contatto Stampa Agencia:</w:t>
      </w:r>
    </w:p>
    <w:p w14:paraId="76A4FD0E" w14:textId="77777777" w:rsidR="00F77C70" w:rsidRPr="0074229E" w:rsidRDefault="00000000">
      <w:pPr>
        <w:spacing w:line="240" w:lineRule="auto"/>
        <w:rPr>
          <w:lang w:val="pl-PL"/>
        </w:rPr>
      </w:pPr>
      <w:r w:rsidRPr="0074229E">
        <w:rPr>
          <w:color w:val="000000"/>
          <w:lang w:val="pl-PL"/>
        </w:rPr>
        <w:t>Publitek GmbH</w:t>
      </w:r>
    </w:p>
    <w:p w14:paraId="328CF3D4" w14:textId="77777777" w:rsidR="00F77C70" w:rsidRPr="0074229E" w:rsidRDefault="00000000">
      <w:pPr>
        <w:spacing w:line="240" w:lineRule="auto"/>
        <w:rPr>
          <w:lang w:val="pl-PL"/>
        </w:rPr>
      </w:pPr>
      <w:r w:rsidRPr="0074229E">
        <w:rPr>
          <w:color w:val="000000"/>
          <w:lang w:val="pl-PL"/>
        </w:rPr>
        <w:t>Julia Wolff</w:t>
      </w:r>
    </w:p>
    <w:p w14:paraId="6472DBAA" w14:textId="77777777" w:rsidR="00F77C70" w:rsidRPr="0074229E" w:rsidRDefault="00000000">
      <w:pPr>
        <w:spacing w:line="240" w:lineRule="auto"/>
        <w:rPr>
          <w:lang w:val="pl-PL"/>
        </w:rPr>
      </w:pPr>
      <w:r w:rsidRPr="0074229E">
        <w:rPr>
          <w:color w:val="000000"/>
          <w:lang w:val="pl-PL"/>
        </w:rPr>
        <w:t>+49 (0)4181 968098-18</w:t>
      </w:r>
    </w:p>
    <w:p w14:paraId="2561E5D2" w14:textId="77777777" w:rsidR="00F77C70" w:rsidRPr="0074229E" w:rsidRDefault="00000000">
      <w:pPr>
        <w:spacing w:line="240" w:lineRule="auto"/>
        <w:rPr>
          <w:color w:val="000000"/>
          <w:lang w:val="pl-PL"/>
        </w:rPr>
      </w:pPr>
      <w:hyperlink r:id="rId17">
        <w:r w:rsidRPr="0074229E">
          <w:rPr>
            <w:color w:val="0000FF"/>
            <w:u w:val="single"/>
            <w:lang w:val="pl-PL"/>
          </w:rPr>
          <w:t>julia.wolff@publitek.com</w:t>
        </w:r>
      </w:hyperlink>
    </w:p>
    <w:p w14:paraId="37BA73B2" w14:textId="77777777" w:rsidR="00F77C70" w:rsidRDefault="00000000">
      <w:pPr>
        <w:spacing w:line="240" w:lineRule="auto"/>
      </w:pPr>
      <w:r>
        <w:rPr>
          <w:color w:val="000000"/>
        </w:rPr>
        <w:t>Bremer Straße 6</w:t>
      </w:r>
    </w:p>
    <w:p w14:paraId="06F5354E" w14:textId="77777777" w:rsidR="00F77C70" w:rsidRDefault="00000000">
      <w:pPr>
        <w:spacing w:line="240" w:lineRule="auto"/>
        <w:rPr>
          <w:b/>
        </w:rPr>
      </w:pPr>
      <w:r>
        <w:rPr>
          <w:color w:val="000000"/>
        </w:rPr>
        <w:t>21244 Buchholz</w:t>
      </w:r>
    </w:p>
    <w:p w14:paraId="080AA950" w14:textId="77777777" w:rsidR="00F77C70" w:rsidRDefault="00F77C70">
      <w:pPr>
        <w:spacing w:line="240" w:lineRule="auto"/>
        <w:rPr>
          <w:b/>
        </w:rPr>
      </w:pPr>
    </w:p>
    <w:p w14:paraId="1C0E097A" w14:textId="77777777" w:rsidR="00F77C70" w:rsidRDefault="00000000">
      <w:pPr>
        <w:spacing w:line="240" w:lineRule="auto"/>
        <w:rPr>
          <w:b/>
        </w:rPr>
      </w:pPr>
      <w:r>
        <w:rPr>
          <w:b/>
        </w:rPr>
        <w:t>Si prega di inviare le pubblicazioni cartacee a:</w:t>
      </w:r>
    </w:p>
    <w:p w14:paraId="618E55A0" w14:textId="77777777" w:rsidR="00F77C70" w:rsidRDefault="00000000">
      <w:pPr>
        <w:spacing w:line="240" w:lineRule="auto"/>
      </w:pPr>
      <w:r>
        <w:rPr>
          <w:color w:val="000000"/>
        </w:rPr>
        <w:lastRenderedPageBreak/>
        <w:t>Publitek GmbH</w:t>
      </w:r>
    </w:p>
    <w:p w14:paraId="2C77BFD5" w14:textId="77777777" w:rsidR="00F77C70" w:rsidRDefault="00000000">
      <w:pPr>
        <w:spacing w:line="240" w:lineRule="auto"/>
      </w:pPr>
      <w:r>
        <w:rPr>
          <w:color w:val="000000"/>
        </w:rPr>
        <w:t>Diana Penzien</w:t>
      </w:r>
    </w:p>
    <w:p w14:paraId="090706A7" w14:textId="77777777" w:rsidR="00F77C70" w:rsidRDefault="00000000">
      <w:pPr>
        <w:spacing w:line="240" w:lineRule="auto"/>
      </w:pPr>
      <w:r>
        <w:rPr>
          <w:color w:val="000000"/>
        </w:rPr>
        <w:t>Bremer Straße 6</w:t>
      </w:r>
    </w:p>
    <w:p w14:paraId="6D96F7F3" w14:textId="77777777" w:rsidR="00F77C70" w:rsidRDefault="00000000">
      <w:pPr>
        <w:spacing w:line="240" w:lineRule="auto"/>
      </w:pPr>
      <w:r>
        <w:rPr>
          <w:color w:val="000000"/>
        </w:rPr>
        <w:t>21244 Buchholz</w:t>
      </w:r>
    </w:p>
    <w:p w14:paraId="53B329D3" w14:textId="77777777" w:rsidR="00F77C70" w:rsidRDefault="00F77C70">
      <w:pPr>
        <w:pBdr>
          <w:top w:val="nil"/>
          <w:left w:val="nil"/>
          <w:bottom w:val="nil"/>
          <w:right w:val="nil"/>
          <w:between w:val="nil"/>
        </w:pBdr>
        <w:spacing w:line="240" w:lineRule="auto"/>
        <w:rPr>
          <w:rFonts w:eastAsia="Arial"/>
          <w:color w:val="000000"/>
        </w:rPr>
      </w:pPr>
    </w:p>
    <w:p w14:paraId="1B5869EF" w14:textId="77777777" w:rsidR="00F77C70" w:rsidRDefault="00F77C70"/>
    <w:p w14:paraId="29E4A6FB" w14:textId="77777777" w:rsidR="00F77C70" w:rsidRDefault="00F77C70">
      <w:pPr>
        <w:pBdr>
          <w:top w:val="nil"/>
          <w:left w:val="nil"/>
          <w:bottom w:val="nil"/>
          <w:right w:val="nil"/>
          <w:between w:val="nil"/>
        </w:pBdr>
        <w:spacing w:line="240" w:lineRule="auto"/>
        <w:rPr>
          <w:rFonts w:eastAsia="Arial"/>
          <w:color w:val="000000"/>
          <w:sz w:val="16"/>
          <w:szCs w:val="16"/>
        </w:rPr>
      </w:pPr>
    </w:p>
    <w:p w14:paraId="43E6A4A7" w14:textId="77777777" w:rsidR="00F77C70" w:rsidRDefault="00F77C70">
      <w:pPr>
        <w:pBdr>
          <w:top w:val="nil"/>
          <w:left w:val="nil"/>
          <w:bottom w:val="nil"/>
          <w:right w:val="nil"/>
          <w:between w:val="nil"/>
        </w:pBdr>
        <w:spacing w:line="240" w:lineRule="auto"/>
        <w:rPr>
          <w:rFonts w:eastAsia="Arial"/>
          <w:i/>
          <w:color w:val="000000"/>
          <w:sz w:val="16"/>
          <w:szCs w:val="16"/>
        </w:rPr>
      </w:pPr>
    </w:p>
    <w:p w14:paraId="024780B9" w14:textId="77777777" w:rsidR="00F77C70" w:rsidRDefault="00F77C70">
      <w:pPr>
        <w:pBdr>
          <w:top w:val="nil"/>
          <w:left w:val="nil"/>
          <w:bottom w:val="nil"/>
          <w:right w:val="nil"/>
          <w:between w:val="nil"/>
        </w:pBdr>
        <w:spacing w:line="240" w:lineRule="auto"/>
        <w:jc w:val="center"/>
        <w:rPr>
          <w:rFonts w:eastAsia="Arial"/>
          <w:i/>
          <w:color w:val="000000"/>
          <w:sz w:val="16"/>
          <w:szCs w:val="16"/>
        </w:rPr>
      </w:pPr>
    </w:p>
    <w:sectPr w:rsidR="00F77C70">
      <w:headerReference w:type="default" r:id="rId18"/>
      <w:footerReference w:type="default" r:id="rId19"/>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90CFA" w14:textId="77777777" w:rsidR="0036205E" w:rsidRDefault="0036205E">
      <w:pPr>
        <w:spacing w:line="240" w:lineRule="auto"/>
      </w:pPr>
      <w:r>
        <w:separator/>
      </w:r>
    </w:p>
  </w:endnote>
  <w:endnote w:type="continuationSeparator" w:id="0">
    <w:p w14:paraId="07E282F4" w14:textId="77777777" w:rsidR="0036205E" w:rsidRDefault="003620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9F92" w14:textId="77777777" w:rsidR="00F77C70" w:rsidRDefault="00F77C70">
    <w:pPr>
      <w:pBdr>
        <w:top w:val="nil"/>
        <w:left w:val="nil"/>
        <w:bottom w:val="nil"/>
        <w:right w:val="nil"/>
        <w:between w:val="nil"/>
      </w:pBdr>
      <w:spacing w:line="240" w:lineRule="auto"/>
      <w:ind w:right="283"/>
      <w:rPr>
        <w:rFonts w:eastAsia="Arial"/>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67F5A" w14:textId="77777777" w:rsidR="0036205E" w:rsidRDefault="0036205E">
      <w:pPr>
        <w:spacing w:line="240" w:lineRule="auto"/>
      </w:pPr>
      <w:r>
        <w:separator/>
      </w:r>
    </w:p>
  </w:footnote>
  <w:footnote w:type="continuationSeparator" w:id="0">
    <w:p w14:paraId="501CD668" w14:textId="77777777" w:rsidR="0036205E" w:rsidRDefault="003620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FBB5"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961663"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36E5A05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4420CA"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AAAA54C"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F942C1F"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226DA776"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63BE19A1" w14:textId="77777777" w:rsidR="00F77C70" w:rsidRDefault="00F77C70">
    <w:pPr>
      <w:pBdr>
        <w:top w:val="nil"/>
        <w:left w:val="nil"/>
        <w:bottom w:val="nil"/>
        <w:right w:val="nil"/>
        <w:between w:val="nil"/>
      </w:pBdr>
      <w:spacing w:line="240" w:lineRule="auto"/>
      <w:jc w:val="right"/>
      <w:rPr>
        <w:rFonts w:eastAsia="Arial"/>
        <w:b/>
        <w:color w:val="000000"/>
        <w:u w:val="single"/>
      </w:rPr>
    </w:pPr>
  </w:p>
  <w:p w14:paraId="0EEA256F" w14:textId="77777777" w:rsidR="00F77C70" w:rsidRDefault="00F77C70">
    <w:pPr>
      <w:pBdr>
        <w:top w:val="nil"/>
        <w:left w:val="nil"/>
        <w:bottom w:val="nil"/>
        <w:right w:val="nil"/>
        <w:between w:val="nil"/>
      </w:pBdr>
      <w:spacing w:line="240" w:lineRule="auto"/>
      <w:jc w:val="right"/>
      <w:rPr>
        <w:rFonts w:eastAsia="Arial"/>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C70"/>
    <w:rsid w:val="00177CE5"/>
    <w:rsid w:val="001E0024"/>
    <w:rsid w:val="0036205E"/>
    <w:rsid w:val="004A675F"/>
    <w:rsid w:val="0074229E"/>
    <w:rsid w:val="00EA49D8"/>
    <w:rsid w:val="00F55DCD"/>
    <w:rsid w:val="00F77C70"/>
    <w:rsid w:val="00FB4F5B"/>
    <w:rsid w:val="00FB63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F69EE7"/>
  <w15:docId w15:val="{72E7E6E2-8526-4C1A-A17A-6A0D077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cs-CZ"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971"/>
    <w:pPr>
      <w:suppressAutoHyphens/>
    </w:pPr>
    <w:rPr>
      <w:rFonts w:eastAsia="Times New Roman"/>
      <w:kern w:val="1"/>
      <w:lang w:val="it-IT" w:eastAsia="ar-SA"/>
    </w:rPr>
  </w:style>
  <w:style w:type="paragraph" w:styleId="Heading1">
    <w:name w:val="heading 1"/>
    <w:basedOn w:val="Normal"/>
    <w:next w:val="Normal"/>
    <w:link w:val="Heading1Char"/>
    <w:uiPriority w:val="9"/>
    <w:qFormat/>
    <w:rsid w:val="0084744E"/>
    <w:pPr>
      <w:spacing w:line="276" w:lineRule="auto"/>
      <w:outlineLvl w:val="0"/>
    </w:pPr>
    <w:rPr>
      <w:b/>
      <w:bCs/>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84744E"/>
    <w:rPr>
      <w:rFonts w:ascii="Arial" w:eastAsia="Times New Roman" w:hAnsi="Arial" w:cs="Arial"/>
      <w:b/>
      <w:bCs/>
      <w:noProof/>
      <w:kern w:val="1"/>
      <w:sz w:val="36"/>
      <w:szCs w:val="36"/>
      <w:lang w:val="it-IT" w:eastAsia="de-DE"/>
    </w:rPr>
  </w:style>
  <w:style w:type="character" w:customStyle="1" w:styleId="Heading2Char">
    <w:name w:val="Heading 2 Char"/>
    <w:aliases w:val="Subheadline Char"/>
    <w:basedOn w:val="DefaultParagraphFont"/>
    <w:link w:val="Heading2"/>
    <w:uiPriority w:val="9"/>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E7BA3"/>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9E7BA3"/>
  </w:style>
  <w:style w:type="character" w:styleId="UnresolvedMention">
    <w:name w:val="Unresolved Mention"/>
    <w:basedOn w:val="DefaultParagraphFont"/>
    <w:uiPriority w:val="99"/>
    <w:semiHidden/>
    <w:unhideWhenUsed/>
    <w:rsid w:val="00425F9C"/>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Web1">
    <w:name w:val="Normal (Web)1"/>
    <w:basedOn w:val="Normal"/>
    <w:rsid w:val="0074229E"/>
    <w:pPr>
      <w:suppressAutoHyphens w:val="0"/>
      <w:spacing w:before="100" w:after="28" w:line="100" w:lineRule="atLeast"/>
    </w:pPr>
    <w:rPr>
      <w:rFonts w:ascii="Times New Roman" w:eastAsia="Arial" w:hAnsi="Times New Roman"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twitter.com/i/flow/login?redirect_after_login=%2FcongatecAG"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www.linkedin.com/company/congatec/" TargetMode="External"/><Relationship Id="rId17" Type="http://schemas.openxmlformats.org/officeDocument/2006/relationships/hyperlink" Target="mailto:julia.wolff@publitek.com" TargetMode="Externa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ongatec.com/it/" TargetMode="External"/><Relationship Id="rId5" Type="http://schemas.openxmlformats.org/officeDocument/2006/relationships/footnotes" Target="footnotes.xml"/><Relationship Id="rId15" Type="http://schemas.openxmlformats.org/officeDocument/2006/relationships/hyperlink" Target="https://www.congatec.com/it/congatec/comunicato-stampa.html" TargetMode="External"/><Relationship Id="rId23" Type="http://schemas.openxmlformats.org/officeDocument/2006/relationships/customXml" Target="../customXml/item3.xml"/><Relationship Id="rId10" Type="http://schemas.openxmlformats.org/officeDocument/2006/relationships/hyperlink" Target="https://www.congatec.com/en/congatec/events/congatec-at-embedded-world-2024/"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ngatec.com/en/products/acom/conga-acommrlp/" TargetMode="External"/><Relationship Id="rId14" Type="http://schemas.openxmlformats.org/officeDocument/2006/relationships/hyperlink" Target="https://www.youtube.com/user/congatecAE" TargetMode="External"/><Relationship Id="rId22" Type="http://schemas.openxmlformats.org/officeDocument/2006/relationships/customXml" Target="../customXml/item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Fy1Rwif15nGPf1wZojGJhZOhw==">CgMxLjA4AHIhMWViVUF5SW55WlJINWI4N0hRSUU1ODJVY3djRDJRM21S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132883-C4B6-4D4D-B89D-BD7B9005212C}"/>
</file>

<file path=customXml/itemProps3.xml><?xml version="1.0" encoding="utf-8"?>
<ds:datastoreItem xmlns:ds="http://schemas.openxmlformats.org/officeDocument/2006/customXml" ds:itemID="{4B6571A6-7366-4421-98EC-1CD00291AAD1}"/>
</file>

<file path=docProps/app.xml><?xml version="1.0" encoding="utf-8"?>
<Properties xmlns="http://schemas.openxmlformats.org/officeDocument/2006/extended-properties" xmlns:vt="http://schemas.openxmlformats.org/officeDocument/2006/docPropsVTypes">
  <Template>Normal</Template>
  <TotalTime>0</TotalTime>
  <Pages>5</Pages>
  <Words>1157</Words>
  <Characters>7219</Characters>
  <Application>Microsoft Office Word</Application>
  <DocSecurity>0</DocSecurity>
  <Lines>184</Lines>
  <Paragraphs>50</Paragraphs>
  <ScaleCrop>false</ScaleCrop>
  <Company>Archetype</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5</cp:revision>
  <dcterms:created xsi:type="dcterms:W3CDTF">2024-04-11T07:51:00Z</dcterms:created>
  <dcterms:modified xsi:type="dcterms:W3CDTF">2024-04-11T09:18:00Z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b43460ffd660ef9f357553251f983646966288450a3a74c3c1712ba32ca0dabd</vt:lpwstr>
  </property>
</Properties>
</file>