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479DAD" w14:textId="77777777" w:rsidR="00E879FD" w:rsidRDefault="00000000">
      <w:pPr>
        <w:pBdr>
          <w:top w:val="nil"/>
          <w:left w:val="nil"/>
          <w:bottom w:val="nil"/>
          <w:right w:val="nil"/>
          <w:between w:val="nil"/>
        </w:pBdr>
        <w:spacing w:line="240" w:lineRule="auto"/>
        <w:rPr>
          <w:b/>
          <w:color w:val="000000"/>
          <w:sz w:val="36"/>
          <w:szCs w:val="36"/>
        </w:rPr>
      </w:pPr>
      <w:r>
        <w:rPr>
          <w:b/>
          <w:color w:val="000000"/>
          <w:sz w:val="36"/>
          <w:szCs w:val="36"/>
        </w:rPr>
        <w:t>Pressemitteilung</w:t>
      </w:r>
      <w:r>
        <w:rPr>
          <w:noProof/>
        </w:rPr>
        <w:drawing>
          <wp:anchor distT="0" distB="0" distL="114300" distR="114300" simplePos="0" relativeHeight="251658240" behindDoc="0" locked="0" layoutInCell="1" hidden="0" allowOverlap="1" wp14:anchorId="4804148B" wp14:editId="5F94F6FB">
            <wp:simplePos x="0" y="0"/>
            <wp:positionH relativeFrom="column">
              <wp:posOffset>4388567</wp:posOffset>
            </wp:positionH>
            <wp:positionV relativeFrom="paragraph">
              <wp:posOffset>-366933</wp:posOffset>
            </wp:positionV>
            <wp:extent cx="1145330" cy="901243"/>
            <wp:effectExtent l="0" t="0" r="0" b="0"/>
            <wp:wrapNone/>
            <wp:docPr id="1036" name="image1.jpg" descr="Congatec_Standardlogo_RGB.jpg"/>
            <wp:cNvGraphicFramePr/>
            <a:graphic xmlns:a="http://schemas.openxmlformats.org/drawingml/2006/main">
              <a:graphicData uri="http://schemas.openxmlformats.org/drawingml/2006/picture">
                <pic:pic xmlns:pic="http://schemas.openxmlformats.org/drawingml/2006/picture">
                  <pic:nvPicPr>
                    <pic:cNvPr id="0" name="image1.jpg" descr="Congatec_Standardlogo_RGB.jpg"/>
                    <pic:cNvPicPr preferRelativeResize="0"/>
                  </pic:nvPicPr>
                  <pic:blipFill>
                    <a:blip r:embed="rId7"/>
                    <a:srcRect/>
                    <a:stretch>
                      <a:fillRect/>
                    </a:stretch>
                  </pic:blipFill>
                  <pic:spPr>
                    <a:xfrm>
                      <a:off x="0" y="0"/>
                      <a:ext cx="1145330" cy="901243"/>
                    </a:xfrm>
                    <a:prstGeom prst="rect">
                      <a:avLst/>
                    </a:prstGeom>
                    <a:ln/>
                  </pic:spPr>
                </pic:pic>
              </a:graphicData>
            </a:graphic>
          </wp:anchor>
        </w:drawing>
      </w:r>
    </w:p>
    <w:p w14:paraId="6678D887" w14:textId="77777777" w:rsidR="00E879FD" w:rsidRDefault="00E879FD">
      <w:pPr>
        <w:pBdr>
          <w:top w:val="nil"/>
          <w:left w:val="nil"/>
          <w:bottom w:val="nil"/>
          <w:right w:val="nil"/>
          <w:between w:val="nil"/>
        </w:pBdr>
        <w:spacing w:line="240" w:lineRule="auto"/>
        <w:rPr>
          <w:b/>
          <w:color w:val="000000"/>
          <w:sz w:val="36"/>
          <w:szCs w:val="36"/>
        </w:rPr>
      </w:pPr>
    </w:p>
    <w:p w14:paraId="45179559" w14:textId="77777777" w:rsidR="00E879FD" w:rsidRDefault="00E879FD">
      <w:pPr>
        <w:pBdr>
          <w:top w:val="nil"/>
          <w:left w:val="nil"/>
          <w:bottom w:val="nil"/>
          <w:right w:val="nil"/>
          <w:between w:val="nil"/>
        </w:pBdr>
        <w:spacing w:line="240" w:lineRule="auto"/>
        <w:rPr>
          <w:b/>
          <w:color w:val="000000"/>
          <w:sz w:val="36"/>
          <w:szCs w:val="36"/>
        </w:rPr>
      </w:pPr>
    </w:p>
    <w:p w14:paraId="34C95D29" w14:textId="77777777" w:rsidR="00E879FD" w:rsidRDefault="00000000">
      <w:pPr>
        <w:rPr>
          <w:color w:val="000000"/>
        </w:rPr>
      </w:pPr>
      <w:proofErr w:type="spellStart"/>
      <w:r>
        <w:rPr>
          <w:color w:val="000000"/>
        </w:rPr>
        <w:t>congatec</w:t>
      </w:r>
      <w:proofErr w:type="spellEnd"/>
      <w:r>
        <w:rPr>
          <w:color w:val="000000"/>
        </w:rPr>
        <w:t xml:space="preserve"> präsentiert neue COM Express Compact Module mit AMD </w:t>
      </w:r>
      <w:proofErr w:type="spellStart"/>
      <w:r>
        <w:rPr>
          <w:color w:val="000000"/>
        </w:rPr>
        <w:t>Ryzen</w:t>
      </w:r>
      <w:proofErr w:type="spellEnd"/>
      <w:r>
        <w:rPr>
          <w:color w:val="000000"/>
        </w:rPr>
        <w:t xml:space="preserve"> Embedded 8000 Series für leistungsstarke KI-Applikationen am Edge</w:t>
      </w:r>
    </w:p>
    <w:p w14:paraId="2C07C1F7" w14:textId="77777777" w:rsidR="00E879FD" w:rsidRDefault="00E879FD">
      <w:pPr>
        <w:rPr>
          <w:color w:val="000000"/>
        </w:rPr>
      </w:pPr>
    </w:p>
    <w:p w14:paraId="40A8F2ED" w14:textId="77777777" w:rsidR="00E879FD" w:rsidRDefault="00000000">
      <w:pPr>
        <w:spacing w:line="240" w:lineRule="auto"/>
        <w:rPr>
          <w:b/>
          <w:color w:val="000000"/>
          <w:sz w:val="36"/>
          <w:szCs w:val="36"/>
        </w:rPr>
      </w:pPr>
      <w:r>
        <w:rPr>
          <w:b/>
          <w:color w:val="000000"/>
          <w:sz w:val="36"/>
          <w:szCs w:val="36"/>
        </w:rPr>
        <w:t>39 TOPS KI-Performance auf einem kompakten Modul</w:t>
      </w:r>
    </w:p>
    <w:p w14:paraId="2C7C51E7" w14:textId="77777777" w:rsidR="00E879FD" w:rsidRDefault="00E879FD">
      <w:pPr>
        <w:spacing w:line="240" w:lineRule="auto"/>
      </w:pPr>
    </w:p>
    <w:p w14:paraId="385EE2A9" w14:textId="77777777" w:rsidR="00E879FD" w:rsidRDefault="00E879FD">
      <w:pPr>
        <w:spacing w:line="240" w:lineRule="auto"/>
      </w:pPr>
    </w:p>
    <w:p w14:paraId="2B2A3BC5" w14:textId="77777777" w:rsidR="00E879FD" w:rsidRDefault="00000000">
      <w:r>
        <w:rPr>
          <w:noProof/>
        </w:rPr>
        <w:drawing>
          <wp:inline distT="114300" distB="114300" distL="114300" distR="114300" wp14:anchorId="70D3D6E5" wp14:editId="09E7F59F">
            <wp:extent cx="5760410" cy="3835400"/>
            <wp:effectExtent l="0" t="0" r="0" b="0"/>
            <wp:docPr id="1035"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8"/>
                    <a:srcRect/>
                    <a:stretch>
                      <a:fillRect/>
                    </a:stretch>
                  </pic:blipFill>
                  <pic:spPr>
                    <a:xfrm>
                      <a:off x="0" y="0"/>
                      <a:ext cx="5760410" cy="3835400"/>
                    </a:xfrm>
                    <a:prstGeom prst="rect">
                      <a:avLst/>
                    </a:prstGeom>
                    <a:ln/>
                  </pic:spPr>
                </pic:pic>
              </a:graphicData>
            </a:graphic>
          </wp:inline>
        </w:drawing>
      </w:r>
    </w:p>
    <w:p w14:paraId="5A4C7DB6" w14:textId="77777777" w:rsidR="00E879FD" w:rsidRDefault="00E879FD"/>
    <w:p w14:paraId="437F90C0" w14:textId="77777777" w:rsidR="00E879FD" w:rsidRDefault="00000000">
      <w:r>
        <w:rPr>
          <w:b/>
        </w:rPr>
        <w:t>Deggendorf, 17. September 2024</w:t>
      </w:r>
      <w:r>
        <w:t xml:space="preserve"> * * * </w:t>
      </w:r>
      <w:proofErr w:type="spellStart"/>
      <w:r>
        <w:t>congatec</w:t>
      </w:r>
      <w:proofErr w:type="spellEnd"/>
      <w:r>
        <w:t xml:space="preserve"> – ein führender Anbieter von Embedded- und Edge-Computing-Technologie – stellt neue COM Express Compact Computer-on-Module mit AMD </w:t>
      </w:r>
      <w:proofErr w:type="spellStart"/>
      <w:r>
        <w:t>Ryzen</w:t>
      </w:r>
      <w:proofErr w:type="spellEnd"/>
      <w:r>
        <w:t xml:space="preserve"> Embedded 8000 Series Prozessoren vor. Basierend auf den dedizierten Computing Cores der neuen </w:t>
      </w:r>
      <w:proofErr w:type="spellStart"/>
      <w:r>
        <w:t>Ryzen</w:t>
      </w:r>
      <w:proofErr w:type="spellEnd"/>
      <w:r>
        <w:t xml:space="preserve"> Prozessoren mit bis zu acht „Zen 4“ Kernen, innovativer XDNA™ NPU und der leistungsstarken Radeon RDNA 3™ Grafik bieten die neuen Module eine beeindruckende KI-Inferenz-Performance von bis zu 39 TOPS (</w:t>
      </w:r>
      <w:proofErr w:type="spellStart"/>
      <w:r>
        <w:t>Tera</w:t>
      </w:r>
      <w:proofErr w:type="spellEnd"/>
      <w:r>
        <w:t xml:space="preserve"> Operations per Second).</w:t>
      </w:r>
    </w:p>
    <w:p w14:paraId="0FE0E33B" w14:textId="77777777" w:rsidR="00E879FD" w:rsidRDefault="00E879FD"/>
    <w:p w14:paraId="4179FADE" w14:textId="77777777" w:rsidR="00E879FD" w:rsidRDefault="00000000">
      <w:r>
        <w:lastRenderedPageBreak/>
        <w:t>Damit sind die neuen conga-TCR8 Type 6 Module besonders attraktiv für stückzahlstarke und preissensitive Applikationen, die hohe Anforderungen an KI-, Grafik- und Rechenleistung in beliebiger Kombination stellen. OEMs aus den Bereichen Medical Imaging, Test &amp; Measurement, KI-gestützte POS/POI-Systeme sowie Professional Gaming können mit den langzeitverfügbaren COM Express Compact Modulen Innovationen schneller und mit hoher Investitionssicherheit entwickeln. Zudem eignen sie sich aufgrund ihres breiten, skalierbaren TDP-Bereichs von 15 bis 54 Watt ideal, um bestehende Designs durch einfachen Modultausch auf den neuesten Stand der Technik zu bringen und damit deren Lebenszyklus, ROI und auch Nachhaltigkeit deutlich zu verbessern.</w:t>
      </w:r>
    </w:p>
    <w:p w14:paraId="7F99E578" w14:textId="77777777" w:rsidR="00E879FD" w:rsidRDefault="00E879FD"/>
    <w:p w14:paraId="4E053018" w14:textId="77777777" w:rsidR="00E879FD" w:rsidRDefault="00000000">
      <w:r>
        <w:t xml:space="preserve">„Mit unseren neuen AMD </w:t>
      </w:r>
      <w:proofErr w:type="spellStart"/>
      <w:r>
        <w:t>Ryzen</w:t>
      </w:r>
      <w:proofErr w:type="spellEnd"/>
      <w:r>
        <w:t xml:space="preserve"> Embedded 8000 basierten Modulen erweitern wir nicht nur unser Angebot an high-performance Edge-KI-Plattformen für innovative Applikationen. In der aReady.COM Variante bieten wir Entwicklern damit auch einen einfachen Zugang zu den Vorteilen der Systemkonsolidierung, für die diese neue Prozessorplattform mit leistungsstarken CPU-, GPU- und NPU-Cores wie geschaffen ist. Kunden und Anwender profitieren von Kosten-, Effizienz- und Zuverlässigkeitsvorteilen durch einen konfigurierten Hypervisor, vorinstallierte Betriebssysteme, begleitende IoT-Software für mehr Funktionalität und flexible Erweiterungsmöglichkeiten“, erklärt Martin Danzer, </w:t>
      </w:r>
      <w:proofErr w:type="spellStart"/>
      <w:r>
        <w:t>Director</w:t>
      </w:r>
      <w:proofErr w:type="spellEnd"/>
      <w:r>
        <w:t xml:space="preserve"> </w:t>
      </w:r>
      <w:proofErr w:type="spellStart"/>
      <w:r>
        <w:t>Product</w:t>
      </w:r>
      <w:proofErr w:type="spellEnd"/>
      <w:r>
        <w:t xml:space="preserve"> Management bei </w:t>
      </w:r>
      <w:proofErr w:type="spellStart"/>
      <w:r>
        <w:t>congatec</w:t>
      </w:r>
      <w:proofErr w:type="spellEnd"/>
      <w:r>
        <w:t>.</w:t>
      </w:r>
    </w:p>
    <w:p w14:paraId="3812DA2B" w14:textId="77777777" w:rsidR="00E879FD" w:rsidRDefault="00E879FD">
      <w:pPr>
        <w:rPr>
          <w:b/>
        </w:rPr>
      </w:pPr>
    </w:p>
    <w:p w14:paraId="4648681B" w14:textId="77777777" w:rsidR="00E879FD" w:rsidRDefault="00000000">
      <w:pPr>
        <w:rPr>
          <w:b/>
        </w:rPr>
      </w:pPr>
      <w:r>
        <w:rPr>
          <w:b/>
        </w:rPr>
        <w:t xml:space="preserve">Das </w:t>
      </w:r>
      <w:proofErr w:type="spellStart"/>
      <w:r>
        <w:rPr>
          <w:b/>
        </w:rPr>
        <w:t>Featureset</w:t>
      </w:r>
      <w:proofErr w:type="spellEnd"/>
      <w:r>
        <w:rPr>
          <w:b/>
        </w:rPr>
        <w:t xml:space="preserve"> im Detail</w:t>
      </w:r>
    </w:p>
    <w:p w14:paraId="62CEAE65" w14:textId="77777777" w:rsidR="00E879FD" w:rsidRDefault="00000000">
      <w:r>
        <w:t xml:space="preserve">Die neuen </w:t>
      </w:r>
      <w:proofErr w:type="spellStart"/>
      <w:r>
        <w:t>congatec</w:t>
      </w:r>
      <w:proofErr w:type="spellEnd"/>
      <w:r>
        <w:t xml:space="preserve"> conga-TCR8 Computer-on-Modules sind mit vier unterschiedlichen AMD </w:t>
      </w:r>
      <w:proofErr w:type="spellStart"/>
      <w:r>
        <w:t>Ryzen</w:t>
      </w:r>
      <w:proofErr w:type="spellEnd"/>
      <w:r>
        <w:t xml:space="preserve"> Embedded 8000 Prozessoren mit 6 oder 8 „Zen 4“ Cores erhältlich. Sie unterstützen bis zu 128GB DDR5-5600 Arbeitsspeicher mit Error </w:t>
      </w:r>
      <w:proofErr w:type="spellStart"/>
      <w:r>
        <w:t>Correction</w:t>
      </w:r>
      <w:proofErr w:type="spellEnd"/>
      <w:r>
        <w:t xml:space="preserve"> Code (ECC) für datenintensive und datenkritische Applikationen. Mit der integrierten AMD XDNA™ NPU (16 TOPS) und AMD Radeon RDNA™ 3 Grafik, die mit bis zu 12 </w:t>
      </w:r>
      <w:proofErr w:type="spellStart"/>
      <w:r>
        <w:t>Compute</w:t>
      </w:r>
      <w:proofErr w:type="spellEnd"/>
      <w:r>
        <w:t xml:space="preserve"> Units auch als GPGPU für KI-Aufgaben genutzt werden kann, liefern sie eine kombinierte Rechenleistung von bis zu 39 TOPS. Darüber hinaus geben sie immersive Grafik auf bis zu vier Displays mit bis zu 8k-Auflösung aus. Für eine schnelle Peripherieanbindung stehen sechs PCIe Gen 4 (8 Lanes) sowie PEG x8 Gen 4, drei DisplayPort (DP), ein </w:t>
      </w:r>
      <w:proofErr w:type="spellStart"/>
      <w:r>
        <w:t>eDP</w:t>
      </w:r>
      <w:proofErr w:type="spellEnd"/>
      <w:r>
        <w:t xml:space="preserve"> oder LVDS, vier USB 3.2 Gen2 und vier USB 2.0 Interfaces zur Verfügung. Tonsignale werden über HDA ausgegeben. Massenspeicher können über zwei SATA 6Gb/s Ports oder optional direkt auf dem Modul als NVMe SSD eingebunden werden. Klassische Embedded-Schnittstellen wie SPI, UART, I2C und GPIO runden das Angebot ab. </w:t>
      </w:r>
    </w:p>
    <w:p w14:paraId="2E0549AF" w14:textId="77777777" w:rsidR="00E879FD" w:rsidRDefault="00E879FD"/>
    <w:p w14:paraId="1BE8951E" w14:textId="77777777" w:rsidR="00E879FD" w:rsidRDefault="00000000">
      <w:r>
        <w:t xml:space="preserve">Die neuen COM Express Compact Module sind auch als applikationsfertige </w:t>
      </w:r>
      <w:proofErr w:type="spellStart"/>
      <w:r>
        <w:t>aReady.COMs</w:t>
      </w:r>
      <w:proofErr w:type="spellEnd"/>
      <w:r>
        <w:t xml:space="preserve"> verfügbar. Sie werden kundenspezifisch inklusive validierter und vorinstallierter Betriebssysteme wie </w:t>
      </w:r>
      <w:proofErr w:type="spellStart"/>
      <w:r>
        <w:t>ctrlX</w:t>
      </w:r>
      <w:proofErr w:type="spellEnd"/>
      <w:r>
        <w:t xml:space="preserve"> OS, Ubuntu und/oder RT-Linux, optionaler Systemkonsolidierung mit </w:t>
      </w:r>
      <w:proofErr w:type="spellStart"/>
      <w:r>
        <w:t>aReady.VT</w:t>
      </w:r>
      <w:proofErr w:type="spellEnd"/>
      <w:r>
        <w:t xml:space="preserve"> und IoT-Connectivity via </w:t>
      </w:r>
      <w:proofErr w:type="spellStart"/>
      <w:r>
        <w:t>aReady.IOT</w:t>
      </w:r>
      <w:proofErr w:type="spellEnd"/>
      <w:r>
        <w:t xml:space="preserve"> ausgeliefert. Auf Wunsch kommen sie auch direkt mit der installierten Kundenapplikation, so dass sie nur noch in das fertige System eingesteckt werden müssen.</w:t>
      </w:r>
    </w:p>
    <w:p w14:paraId="44AD71DF" w14:textId="77777777" w:rsidR="00E879FD" w:rsidRDefault="00E879FD"/>
    <w:p w14:paraId="4CF646E9" w14:textId="77777777" w:rsidR="00E879FD" w:rsidRDefault="00000000">
      <w:r>
        <w:t xml:space="preserve">Darüber hinaus vereinfachen </w:t>
      </w:r>
      <w:proofErr w:type="spellStart"/>
      <w:r>
        <w:t>congatecs</w:t>
      </w:r>
      <w:proofErr w:type="spellEnd"/>
      <w:r>
        <w:t xml:space="preserve"> high-performance </w:t>
      </w:r>
      <w:proofErr w:type="spellStart"/>
      <w:r>
        <w:t>Ecosystem</w:t>
      </w:r>
      <w:proofErr w:type="spellEnd"/>
      <w:r>
        <w:t xml:space="preserve"> und Design-In Services die Applikationsentwicklung. Das Leistungsspektrum umfasst unter anderem umfangreiche Board Support Packages, Evaluierungs- und serientaugliche </w:t>
      </w:r>
      <w:proofErr w:type="spellStart"/>
      <w:r>
        <w:t>Application</w:t>
      </w:r>
      <w:proofErr w:type="spellEnd"/>
      <w:r>
        <w:t xml:space="preserve"> </w:t>
      </w:r>
      <w:proofErr w:type="spellStart"/>
      <w:r>
        <w:t>Carrierboards</w:t>
      </w:r>
      <w:proofErr w:type="spellEnd"/>
      <w:r>
        <w:t xml:space="preserve">, maßgeschneiderte Kühllösungen sowie umfangreiche Dokumentationen und Schulungen bis hin zu High-Speed Signalintegritäts-Messungen. </w:t>
      </w:r>
    </w:p>
    <w:p w14:paraId="1F0B3CC0" w14:textId="77777777" w:rsidR="00E879FD" w:rsidRDefault="00E879FD"/>
    <w:p w14:paraId="0D265F01" w14:textId="77777777" w:rsidR="00E879FD" w:rsidRDefault="00000000">
      <w:r>
        <w:t xml:space="preserve">Die neuen conga-TCR8 COM Express Compact Module sind in den folgenden Varianten erhältlich: </w:t>
      </w:r>
    </w:p>
    <w:tbl>
      <w:tblPr>
        <w:tblStyle w:val="ae"/>
        <w:tblW w:w="776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38"/>
        <w:gridCol w:w="1418"/>
        <w:gridCol w:w="850"/>
        <w:gridCol w:w="1071"/>
        <w:gridCol w:w="1295"/>
        <w:gridCol w:w="1295"/>
      </w:tblGrid>
      <w:tr w:rsidR="00E879FD" w14:paraId="01811EB7" w14:textId="77777777">
        <w:tc>
          <w:tcPr>
            <w:tcW w:w="1838" w:type="dxa"/>
          </w:tcPr>
          <w:p w14:paraId="14176742" w14:textId="77777777" w:rsidR="00E879FD" w:rsidRDefault="00000000">
            <w:pPr>
              <w:jc w:val="center"/>
              <w:rPr>
                <w:b/>
              </w:rPr>
            </w:pPr>
            <w:r>
              <w:rPr>
                <w:b/>
              </w:rPr>
              <w:t>Modell</w:t>
            </w:r>
          </w:p>
        </w:tc>
        <w:tc>
          <w:tcPr>
            <w:tcW w:w="1418" w:type="dxa"/>
          </w:tcPr>
          <w:p w14:paraId="60E103CD" w14:textId="77777777" w:rsidR="00E879FD" w:rsidRDefault="00000000">
            <w:pPr>
              <w:jc w:val="center"/>
              <w:rPr>
                <w:b/>
              </w:rPr>
            </w:pPr>
            <w:r>
              <w:rPr>
                <w:b/>
              </w:rPr>
              <w:t>TDP</w:t>
            </w:r>
          </w:p>
        </w:tc>
        <w:tc>
          <w:tcPr>
            <w:tcW w:w="850" w:type="dxa"/>
          </w:tcPr>
          <w:p w14:paraId="335BAB7C" w14:textId="77777777" w:rsidR="00E879FD" w:rsidRDefault="00000000">
            <w:pPr>
              <w:jc w:val="center"/>
              <w:rPr>
                <w:b/>
              </w:rPr>
            </w:pPr>
            <w:r>
              <w:rPr>
                <w:b/>
              </w:rPr>
              <w:t>Cores</w:t>
            </w:r>
          </w:p>
        </w:tc>
        <w:tc>
          <w:tcPr>
            <w:tcW w:w="1071" w:type="dxa"/>
          </w:tcPr>
          <w:p w14:paraId="5ECE8FFB" w14:textId="77777777" w:rsidR="00E879FD" w:rsidRDefault="00000000">
            <w:pPr>
              <w:jc w:val="center"/>
              <w:rPr>
                <w:b/>
              </w:rPr>
            </w:pPr>
            <w:r>
              <w:rPr>
                <w:b/>
              </w:rPr>
              <w:t>Threads</w:t>
            </w:r>
          </w:p>
        </w:tc>
        <w:tc>
          <w:tcPr>
            <w:tcW w:w="1295" w:type="dxa"/>
          </w:tcPr>
          <w:p w14:paraId="35768B84" w14:textId="77777777" w:rsidR="00E879FD" w:rsidRDefault="00000000">
            <w:pPr>
              <w:jc w:val="center"/>
              <w:rPr>
                <w:b/>
              </w:rPr>
            </w:pPr>
            <w:r>
              <w:rPr>
                <w:b/>
              </w:rPr>
              <w:t>Basistakt / Turbo</w:t>
            </w:r>
          </w:p>
        </w:tc>
        <w:tc>
          <w:tcPr>
            <w:tcW w:w="1295" w:type="dxa"/>
          </w:tcPr>
          <w:p w14:paraId="1FD3200C" w14:textId="77777777" w:rsidR="00E879FD" w:rsidRDefault="00000000">
            <w:pPr>
              <w:jc w:val="center"/>
              <w:rPr>
                <w:b/>
              </w:rPr>
            </w:pPr>
            <w:proofErr w:type="spellStart"/>
            <w:r>
              <w:rPr>
                <w:b/>
              </w:rPr>
              <w:t>Compute</w:t>
            </w:r>
            <w:proofErr w:type="spellEnd"/>
            <w:r>
              <w:rPr>
                <w:b/>
              </w:rPr>
              <w:t xml:space="preserve"> Units</w:t>
            </w:r>
          </w:p>
        </w:tc>
      </w:tr>
      <w:tr w:rsidR="00E879FD" w14:paraId="13906993" w14:textId="77777777">
        <w:tc>
          <w:tcPr>
            <w:tcW w:w="1838" w:type="dxa"/>
          </w:tcPr>
          <w:p w14:paraId="5184085A" w14:textId="77777777" w:rsidR="00E879FD" w:rsidRDefault="00000000">
            <w:pPr>
              <w:jc w:val="center"/>
            </w:pPr>
            <w:r>
              <w:t xml:space="preserve">AMD </w:t>
            </w:r>
            <w:proofErr w:type="spellStart"/>
            <w:r>
              <w:t>Ryzen</w:t>
            </w:r>
            <w:proofErr w:type="spellEnd"/>
            <w:r>
              <w:t>™ Embedded  8845HS</w:t>
            </w:r>
          </w:p>
        </w:tc>
        <w:tc>
          <w:tcPr>
            <w:tcW w:w="1418" w:type="dxa"/>
          </w:tcPr>
          <w:p w14:paraId="5141558A" w14:textId="77777777" w:rsidR="00E879FD" w:rsidRDefault="00000000">
            <w:pPr>
              <w:jc w:val="center"/>
            </w:pPr>
            <w:r>
              <w:t>45 W (35-54 W)</w:t>
            </w:r>
          </w:p>
        </w:tc>
        <w:tc>
          <w:tcPr>
            <w:tcW w:w="850" w:type="dxa"/>
          </w:tcPr>
          <w:p w14:paraId="527B6334" w14:textId="77777777" w:rsidR="00E879FD" w:rsidRDefault="00000000">
            <w:pPr>
              <w:jc w:val="center"/>
            </w:pPr>
            <w:r>
              <w:t>8</w:t>
            </w:r>
          </w:p>
        </w:tc>
        <w:tc>
          <w:tcPr>
            <w:tcW w:w="1071" w:type="dxa"/>
          </w:tcPr>
          <w:p w14:paraId="62999416" w14:textId="77777777" w:rsidR="00E879FD" w:rsidRDefault="00000000">
            <w:pPr>
              <w:jc w:val="center"/>
            </w:pPr>
            <w:r>
              <w:t>16</w:t>
            </w:r>
          </w:p>
        </w:tc>
        <w:tc>
          <w:tcPr>
            <w:tcW w:w="1295" w:type="dxa"/>
          </w:tcPr>
          <w:p w14:paraId="38D2F3CC" w14:textId="77777777" w:rsidR="00E879FD" w:rsidRDefault="00000000">
            <w:pPr>
              <w:jc w:val="center"/>
            </w:pPr>
            <w:r>
              <w:t>3.8 / 5.1</w:t>
            </w:r>
          </w:p>
        </w:tc>
        <w:tc>
          <w:tcPr>
            <w:tcW w:w="1295" w:type="dxa"/>
          </w:tcPr>
          <w:p w14:paraId="0FDFB0DB" w14:textId="77777777" w:rsidR="00E879FD" w:rsidRDefault="00000000">
            <w:pPr>
              <w:jc w:val="center"/>
            </w:pPr>
            <w:r>
              <w:t>12</w:t>
            </w:r>
          </w:p>
        </w:tc>
      </w:tr>
      <w:tr w:rsidR="00E879FD" w14:paraId="139BEF01" w14:textId="77777777">
        <w:tc>
          <w:tcPr>
            <w:tcW w:w="1838" w:type="dxa"/>
          </w:tcPr>
          <w:p w14:paraId="262EDFBB" w14:textId="77777777" w:rsidR="00E879FD" w:rsidRDefault="00000000">
            <w:pPr>
              <w:jc w:val="center"/>
            </w:pPr>
            <w:r>
              <w:t xml:space="preserve">AMD </w:t>
            </w:r>
            <w:proofErr w:type="spellStart"/>
            <w:r>
              <w:t>Ryzen</w:t>
            </w:r>
            <w:proofErr w:type="spellEnd"/>
            <w:r>
              <w:t>™ Embedded  8840U</w:t>
            </w:r>
          </w:p>
        </w:tc>
        <w:tc>
          <w:tcPr>
            <w:tcW w:w="1418" w:type="dxa"/>
          </w:tcPr>
          <w:p w14:paraId="6F49CCAB" w14:textId="77777777" w:rsidR="00E879FD" w:rsidRDefault="00000000">
            <w:pPr>
              <w:jc w:val="center"/>
            </w:pPr>
            <w:r>
              <w:t>28 W (15-30 W)</w:t>
            </w:r>
          </w:p>
        </w:tc>
        <w:tc>
          <w:tcPr>
            <w:tcW w:w="850" w:type="dxa"/>
          </w:tcPr>
          <w:p w14:paraId="7D3D9DC0" w14:textId="77777777" w:rsidR="00E879FD" w:rsidRDefault="00000000">
            <w:pPr>
              <w:jc w:val="center"/>
            </w:pPr>
            <w:r>
              <w:t>8</w:t>
            </w:r>
          </w:p>
        </w:tc>
        <w:tc>
          <w:tcPr>
            <w:tcW w:w="1071" w:type="dxa"/>
          </w:tcPr>
          <w:p w14:paraId="3FD9C2AA" w14:textId="77777777" w:rsidR="00E879FD" w:rsidRDefault="00000000">
            <w:pPr>
              <w:jc w:val="center"/>
            </w:pPr>
            <w:r>
              <w:t>16</w:t>
            </w:r>
          </w:p>
        </w:tc>
        <w:tc>
          <w:tcPr>
            <w:tcW w:w="1295" w:type="dxa"/>
          </w:tcPr>
          <w:p w14:paraId="200DCD99" w14:textId="77777777" w:rsidR="00E879FD" w:rsidRDefault="00000000">
            <w:pPr>
              <w:jc w:val="center"/>
            </w:pPr>
            <w:r>
              <w:t>3.3 / 5.1</w:t>
            </w:r>
          </w:p>
        </w:tc>
        <w:tc>
          <w:tcPr>
            <w:tcW w:w="1295" w:type="dxa"/>
          </w:tcPr>
          <w:p w14:paraId="4C953841" w14:textId="77777777" w:rsidR="00E879FD" w:rsidRDefault="00000000">
            <w:pPr>
              <w:jc w:val="center"/>
            </w:pPr>
            <w:r>
              <w:t>12</w:t>
            </w:r>
          </w:p>
        </w:tc>
      </w:tr>
      <w:tr w:rsidR="00E879FD" w14:paraId="20419063" w14:textId="77777777">
        <w:tc>
          <w:tcPr>
            <w:tcW w:w="1838" w:type="dxa"/>
          </w:tcPr>
          <w:p w14:paraId="602CC796" w14:textId="77777777" w:rsidR="00E879FD" w:rsidRDefault="00000000">
            <w:pPr>
              <w:jc w:val="center"/>
            </w:pPr>
            <w:r>
              <w:t xml:space="preserve">AMD </w:t>
            </w:r>
            <w:proofErr w:type="spellStart"/>
            <w:r>
              <w:t>Ryzen</w:t>
            </w:r>
            <w:proofErr w:type="spellEnd"/>
            <w:r>
              <w:t>™ Embedded  8645HS</w:t>
            </w:r>
          </w:p>
        </w:tc>
        <w:tc>
          <w:tcPr>
            <w:tcW w:w="1418" w:type="dxa"/>
          </w:tcPr>
          <w:p w14:paraId="30F1B79C" w14:textId="77777777" w:rsidR="00E879FD" w:rsidRDefault="00000000">
            <w:pPr>
              <w:jc w:val="center"/>
            </w:pPr>
            <w:r>
              <w:t>45 W (35-54 W)</w:t>
            </w:r>
          </w:p>
        </w:tc>
        <w:tc>
          <w:tcPr>
            <w:tcW w:w="850" w:type="dxa"/>
          </w:tcPr>
          <w:p w14:paraId="441DA7A6" w14:textId="77777777" w:rsidR="00E879FD" w:rsidRDefault="00000000">
            <w:pPr>
              <w:jc w:val="center"/>
            </w:pPr>
            <w:r>
              <w:t>6</w:t>
            </w:r>
          </w:p>
        </w:tc>
        <w:tc>
          <w:tcPr>
            <w:tcW w:w="1071" w:type="dxa"/>
          </w:tcPr>
          <w:p w14:paraId="40B56C30" w14:textId="77777777" w:rsidR="00E879FD" w:rsidRDefault="00000000">
            <w:pPr>
              <w:jc w:val="center"/>
            </w:pPr>
            <w:r>
              <w:t>12</w:t>
            </w:r>
          </w:p>
        </w:tc>
        <w:tc>
          <w:tcPr>
            <w:tcW w:w="1295" w:type="dxa"/>
          </w:tcPr>
          <w:p w14:paraId="0B0441F6" w14:textId="77777777" w:rsidR="00E879FD" w:rsidRDefault="00000000">
            <w:pPr>
              <w:jc w:val="center"/>
            </w:pPr>
            <w:r>
              <w:t>4.3 / 5.0</w:t>
            </w:r>
          </w:p>
        </w:tc>
        <w:tc>
          <w:tcPr>
            <w:tcW w:w="1295" w:type="dxa"/>
          </w:tcPr>
          <w:p w14:paraId="3D6329A6" w14:textId="77777777" w:rsidR="00E879FD" w:rsidRDefault="00000000">
            <w:pPr>
              <w:jc w:val="center"/>
            </w:pPr>
            <w:r>
              <w:t>8</w:t>
            </w:r>
          </w:p>
        </w:tc>
      </w:tr>
      <w:tr w:rsidR="00E879FD" w14:paraId="7BDE9496" w14:textId="77777777">
        <w:tc>
          <w:tcPr>
            <w:tcW w:w="1838" w:type="dxa"/>
          </w:tcPr>
          <w:p w14:paraId="0E4CD998" w14:textId="77777777" w:rsidR="00E879FD" w:rsidRDefault="00000000">
            <w:pPr>
              <w:jc w:val="center"/>
            </w:pPr>
            <w:r>
              <w:t xml:space="preserve">AMD </w:t>
            </w:r>
            <w:proofErr w:type="spellStart"/>
            <w:r>
              <w:t>Ryzen</w:t>
            </w:r>
            <w:proofErr w:type="spellEnd"/>
            <w:r>
              <w:t>™ Embedded 8640U</w:t>
            </w:r>
          </w:p>
        </w:tc>
        <w:tc>
          <w:tcPr>
            <w:tcW w:w="1418" w:type="dxa"/>
          </w:tcPr>
          <w:p w14:paraId="35445577" w14:textId="77777777" w:rsidR="00E879FD" w:rsidRDefault="00000000">
            <w:pPr>
              <w:jc w:val="center"/>
            </w:pPr>
            <w:r>
              <w:t>28 W (15-30 W)</w:t>
            </w:r>
          </w:p>
        </w:tc>
        <w:tc>
          <w:tcPr>
            <w:tcW w:w="850" w:type="dxa"/>
          </w:tcPr>
          <w:p w14:paraId="198F8761" w14:textId="77777777" w:rsidR="00E879FD" w:rsidRDefault="00000000">
            <w:pPr>
              <w:jc w:val="center"/>
            </w:pPr>
            <w:r>
              <w:t>6</w:t>
            </w:r>
          </w:p>
        </w:tc>
        <w:tc>
          <w:tcPr>
            <w:tcW w:w="1071" w:type="dxa"/>
          </w:tcPr>
          <w:p w14:paraId="32496337" w14:textId="77777777" w:rsidR="00E879FD" w:rsidRDefault="00000000">
            <w:pPr>
              <w:jc w:val="center"/>
            </w:pPr>
            <w:r>
              <w:t>12</w:t>
            </w:r>
          </w:p>
        </w:tc>
        <w:tc>
          <w:tcPr>
            <w:tcW w:w="1295" w:type="dxa"/>
          </w:tcPr>
          <w:p w14:paraId="446FF9B1" w14:textId="77777777" w:rsidR="00E879FD" w:rsidRDefault="00000000">
            <w:pPr>
              <w:jc w:val="center"/>
            </w:pPr>
            <w:r>
              <w:t>3.5 / 4.9</w:t>
            </w:r>
          </w:p>
        </w:tc>
        <w:tc>
          <w:tcPr>
            <w:tcW w:w="1295" w:type="dxa"/>
          </w:tcPr>
          <w:p w14:paraId="16CAC46F" w14:textId="77777777" w:rsidR="00E879FD" w:rsidRDefault="00000000">
            <w:pPr>
              <w:jc w:val="center"/>
            </w:pPr>
            <w:r>
              <w:t>8</w:t>
            </w:r>
          </w:p>
        </w:tc>
      </w:tr>
    </w:tbl>
    <w:p w14:paraId="24F73C86" w14:textId="77777777" w:rsidR="00E879FD" w:rsidRDefault="00E879FD"/>
    <w:p w14:paraId="3BD9A83D" w14:textId="77777777" w:rsidR="00E879FD" w:rsidRDefault="00E879FD"/>
    <w:p w14:paraId="2817F18C" w14:textId="77777777" w:rsidR="00E879FD" w:rsidRDefault="00000000">
      <w:r>
        <w:t xml:space="preserve">Weitere Informationen zu den neuen conga-TCR8 Modulen finden Sie unter: </w:t>
      </w:r>
      <w:hyperlink r:id="rId9">
        <w:r>
          <w:rPr>
            <w:color w:val="1155CC"/>
            <w:u w:val="single"/>
          </w:rPr>
          <w:t xml:space="preserve">conga-TCR8 </w:t>
        </w:r>
      </w:hyperlink>
    </w:p>
    <w:p w14:paraId="399A42FB" w14:textId="77777777" w:rsidR="00E879FD" w:rsidRDefault="00E879FD"/>
    <w:p w14:paraId="6E0856B8" w14:textId="77777777" w:rsidR="00E879FD" w:rsidRDefault="00000000">
      <w:r>
        <w:t xml:space="preserve">Weitere Informationen zum COM-Express-Standard finden Sie unter: </w:t>
      </w:r>
      <w:hyperlink r:id="rId10">
        <w:r>
          <w:rPr>
            <w:color w:val="0000FF"/>
            <w:u w:val="single"/>
          </w:rPr>
          <w:t>https://www.congatec.com/de/technologien/com-express/</w:t>
        </w:r>
      </w:hyperlink>
      <w:r>
        <w:t xml:space="preserve"> </w:t>
      </w:r>
    </w:p>
    <w:p w14:paraId="50F3D23F" w14:textId="77777777" w:rsidR="00E879FD" w:rsidRDefault="00E879FD">
      <w:pPr>
        <w:rPr>
          <w:color w:val="000000"/>
          <w:sz w:val="16"/>
          <w:szCs w:val="16"/>
        </w:rPr>
      </w:pPr>
    </w:p>
    <w:p w14:paraId="34D5890A" w14:textId="77777777" w:rsidR="00E879FD" w:rsidRDefault="00000000">
      <w:pPr>
        <w:pBdr>
          <w:top w:val="nil"/>
          <w:left w:val="nil"/>
          <w:bottom w:val="nil"/>
          <w:right w:val="nil"/>
          <w:between w:val="nil"/>
        </w:pBdr>
        <w:jc w:val="center"/>
        <w:rPr>
          <w:color w:val="000000"/>
          <w:sz w:val="16"/>
          <w:szCs w:val="16"/>
        </w:rPr>
      </w:pPr>
      <w:r>
        <w:rPr>
          <w:color w:val="000000"/>
          <w:sz w:val="16"/>
          <w:szCs w:val="16"/>
        </w:rPr>
        <w:t>* * *</w:t>
      </w:r>
    </w:p>
    <w:p w14:paraId="7EF7096A" w14:textId="77777777" w:rsidR="00E879FD" w:rsidRDefault="00E879FD">
      <w:pPr>
        <w:pBdr>
          <w:top w:val="nil"/>
          <w:left w:val="nil"/>
          <w:bottom w:val="nil"/>
          <w:right w:val="nil"/>
          <w:between w:val="nil"/>
        </w:pBdr>
        <w:jc w:val="center"/>
        <w:rPr>
          <w:sz w:val="16"/>
          <w:szCs w:val="16"/>
        </w:rPr>
      </w:pPr>
    </w:p>
    <w:p w14:paraId="66311DF8" w14:textId="77777777" w:rsidR="00E879FD" w:rsidRDefault="00E879FD">
      <w:pPr>
        <w:pBdr>
          <w:top w:val="nil"/>
          <w:left w:val="nil"/>
          <w:bottom w:val="nil"/>
          <w:right w:val="nil"/>
          <w:between w:val="nil"/>
        </w:pBdr>
        <w:spacing w:line="240" w:lineRule="auto"/>
        <w:ind w:right="283"/>
        <w:rPr>
          <w:b/>
          <w:color w:val="000000"/>
          <w:sz w:val="16"/>
          <w:szCs w:val="16"/>
        </w:rPr>
      </w:pPr>
    </w:p>
    <w:p w14:paraId="055793AE" w14:textId="77777777" w:rsidR="00E879FD" w:rsidRDefault="00E879FD">
      <w:pPr>
        <w:spacing w:line="240" w:lineRule="auto"/>
        <w:rPr>
          <w:b/>
          <w:sz w:val="18"/>
          <w:szCs w:val="18"/>
        </w:rPr>
      </w:pPr>
    </w:p>
    <w:p w14:paraId="0BC932DC" w14:textId="77777777" w:rsidR="00E879FD" w:rsidRDefault="00E879FD">
      <w:pPr>
        <w:spacing w:line="240" w:lineRule="auto"/>
        <w:rPr>
          <w:b/>
          <w:sz w:val="18"/>
          <w:szCs w:val="18"/>
        </w:rPr>
      </w:pPr>
    </w:p>
    <w:p w14:paraId="40B0E1B0" w14:textId="77777777" w:rsidR="00E879FD" w:rsidRDefault="00E879FD">
      <w:pPr>
        <w:spacing w:line="240" w:lineRule="auto"/>
        <w:rPr>
          <w:b/>
          <w:sz w:val="18"/>
          <w:szCs w:val="18"/>
        </w:rPr>
      </w:pPr>
    </w:p>
    <w:p w14:paraId="5CCEE684" w14:textId="77777777" w:rsidR="00E879FD" w:rsidRDefault="00000000">
      <w:pPr>
        <w:spacing w:line="240" w:lineRule="auto"/>
        <w:rPr>
          <w:b/>
          <w:sz w:val="18"/>
          <w:szCs w:val="18"/>
        </w:rPr>
      </w:pPr>
      <w:r>
        <w:rPr>
          <w:b/>
          <w:sz w:val="18"/>
          <w:szCs w:val="18"/>
        </w:rPr>
        <w:t xml:space="preserve">Über </w:t>
      </w:r>
      <w:proofErr w:type="spellStart"/>
      <w:r>
        <w:rPr>
          <w:b/>
          <w:sz w:val="18"/>
          <w:szCs w:val="18"/>
        </w:rPr>
        <w:t>congatec</w:t>
      </w:r>
      <w:proofErr w:type="spellEnd"/>
    </w:p>
    <w:p w14:paraId="086E3E08" w14:textId="77777777" w:rsidR="00E879FD" w:rsidRDefault="00000000">
      <w:pPr>
        <w:spacing w:line="240" w:lineRule="auto"/>
        <w:rPr>
          <w:sz w:val="18"/>
          <w:szCs w:val="18"/>
        </w:rPr>
      </w:pPr>
      <w:proofErr w:type="spellStart"/>
      <w:r>
        <w:rPr>
          <w:sz w:val="18"/>
          <w:szCs w:val="18"/>
        </w:rPr>
        <w:t>congatec</w:t>
      </w:r>
      <w:proofErr w:type="spellEnd"/>
      <w:r>
        <w:rPr>
          <w:sz w:val="18"/>
          <w:szCs w:val="18"/>
        </w:rPr>
        <w:t xml:space="preserve"> ist ein stark wachsendes Technologieunternehmen mit Fokus auf Embedded- und Edge-Computing-Produkte und Services. Die leistungsstarken Computermodule werden in einer Vielzahl von Systemanwendungen und Geräten in der industriellen Automatisierung, der Medizintechnik, der Robotik, der Telekommunikation und vielen anderen Branchen eingesetzt. Unterstützt vom Mehrheitsaktionär DBAG Fund VIII, einem deutschen Mittelstandsfonds mit Fokus auf wachsende Industrieunternehmen, verfügt </w:t>
      </w:r>
      <w:proofErr w:type="spellStart"/>
      <w:r>
        <w:rPr>
          <w:sz w:val="18"/>
          <w:szCs w:val="18"/>
        </w:rPr>
        <w:t>congatec</w:t>
      </w:r>
      <w:proofErr w:type="spellEnd"/>
      <w:r>
        <w:rPr>
          <w:sz w:val="18"/>
          <w:szCs w:val="18"/>
        </w:rPr>
        <w:t xml:space="preserve"> über die Finanzierungs- und M&amp;A Erfahrung, um diese expandierenden Marktchancen zu nutzen. Im Segment Computer-on-Module ist </w:t>
      </w:r>
      <w:proofErr w:type="spellStart"/>
      <w:r>
        <w:rPr>
          <w:sz w:val="18"/>
          <w:szCs w:val="18"/>
        </w:rPr>
        <w:t>congatec</w:t>
      </w:r>
      <w:proofErr w:type="spellEnd"/>
      <w:r>
        <w:rPr>
          <w:sz w:val="18"/>
          <w:szCs w:val="18"/>
        </w:rPr>
        <w:t xml:space="preserve"> globaler Marktführer mit einer exzellenten Kundenbasis von Start-ups bis zu internationalen Blue-Chip-Unternehmen. Weitere Informationen finden Sie unter </w:t>
      </w:r>
      <w:hyperlink r:id="rId11">
        <w:r>
          <w:rPr>
            <w:color w:val="0000FF"/>
            <w:sz w:val="18"/>
            <w:szCs w:val="18"/>
            <w:u w:val="single"/>
          </w:rPr>
          <w:t>www.congatec.de</w:t>
        </w:r>
      </w:hyperlink>
      <w:r>
        <w:rPr>
          <w:sz w:val="18"/>
          <w:szCs w:val="18"/>
        </w:rPr>
        <w:t xml:space="preserve"> oder bei </w:t>
      </w:r>
      <w:hyperlink r:id="rId12">
        <w:r>
          <w:rPr>
            <w:color w:val="0000FF"/>
            <w:sz w:val="18"/>
            <w:szCs w:val="18"/>
            <w:u w:val="single"/>
          </w:rPr>
          <w:t>LinkedIn</w:t>
        </w:r>
      </w:hyperlink>
      <w:r>
        <w:rPr>
          <w:sz w:val="18"/>
          <w:szCs w:val="18"/>
        </w:rPr>
        <w:t xml:space="preserve">, </w:t>
      </w:r>
      <w:hyperlink r:id="rId13">
        <w:r>
          <w:rPr>
            <w:color w:val="0000FF"/>
            <w:sz w:val="18"/>
            <w:szCs w:val="18"/>
            <w:u w:val="single"/>
          </w:rPr>
          <w:t>X (Twitter)</w:t>
        </w:r>
      </w:hyperlink>
      <w:r>
        <w:rPr>
          <w:sz w:val="18"/>
          <w:szCs w:val="18"/>
        </w:rPr>
        <w:t xml:space="preserve"> und </w:t>
      </w:r>
      <w:hyperlink r:id="rId14">
        <w:r>
          <w:rPr>
            <w:color w:val="0000FF"/>
            <w:sz w:val="18"/>
            <w:szCs w:val="18"/>
            <w:u w:val="single"/>
          </w:rPr>
          <w:t>YouTube</w:t>
        </w:r>
      </w:hyperlink>
      <w:r>
        <w:rPr>
          <w:sz w:val="18"/>
          <w:szCs w:val="18"/>
        </w:rPr>
        <w:t>.</w:t>
      </w:r>
    </w:p>
    <w:p w14:paraId="084E77DA" w14:textId="77777777" w:rsidR="00E879FD" w:rsidRDefault="00E879FD">
      <w:pPr>
        <w:spacing w:line="240" w:lineRule="auto"/>
        <w:rPr>
          <w:sz w:val="16"/>
          <w:szCs w:val="16"/>
        </w:rPr>
      </w:pPr>
    </w:p>
    <w:p w14:paraId="4558897D" w14:textId="77777777" w:rsidR="00E879FD" w:rsidRDefault="00E879FD">
      <w:pPr>
        <w:pBdr>
          <w:top w:val="nil"/>
          <w:left w:val="nil"/>
          <w:bottom w:val="nil"/>
          <w:right w:val="nil"/>
          <w:between w:val="nil"/>
        </w:pBdr>
        <w:spacing w:line="240" w:lineRule="auto"/>
        <w:rPr>
          <w:color w:val="000000"/>
          <w:sz w:val="16"/>
          <w:szCs w:val="16"/>
        </w:rPr>
      </w:pPr>
    </w:p>
    <w:p w14:paraId="709F4917" w14:textId="77777777" w:rsidR="00E879FD" w:rsidRDefault="00000000">
      <w:pPr>
        <w:pBdr>
          <w:top w:val="nil"/>
          <w:left w:val="nil"/>
          <w:bottom w:val="nil"/>
          <w:right w:val="nil"/>
          <w:between w:val="nil"/>
        </w:pBdr>
        <w:spacing w:line="240" w:lineRule="auto"/>
        <w:rPr>
          <w:color w:val="000000"/>
          <w:sz w:val="16"/>
          <w:szCs w:val="16"/>
        </w:rPr>
      </w:pPr>
      <w:r>
        <w:rPr>
          <w:sz w:val="16"/>
          <w:szCs w:val="16"/>
        </w:rPr>
        <w:t>AMD</w:t>
      </w:r>
      <w:r>
        <w:rPr>
          <w:color w:val="000000"/>
          <w:sz w:val="16"/>
          <w:szCs w:val="16"/>
        </w:rPr>
        <w:t xml:space="preserve">, das </w:t>
      </w:r>
      <w:r>
        <w:rPr>
          <w:sz w:val="16"/>
          <w:szCs w:val="16"/>
        </w:rPr>
        <w:t xml:space="preserve">AMD </w:t>
      </w:r>
      <w:r>
        <w:rPr>
          <w:color w:val="000000"/>
          <w:sz w:val="16"/>
          <w:szCs w:val="16"/>
        </w:rPr>
        <w:t xml:space="preserve">Logo und andere </w:t>
      </w:r>
      <w:r>
        <w:rPr>
          <w:sz w:val="16"/>
          <w:szCs w:val="16"/>
        </w:rPr>
        <w:t xml:space="preserve">AMD </w:t>
      </w:r>
      <w:r>
        <w:rPr>
          <w:color w:val="000000"/>
          <w:sz w:val="16"/>
          <w:szCs w:val="16"/>
        </w:rPr>
        <w:t xml:space="preserve">Marken sind Handelsmarken der </w:t>
      </w:r>
      <w:r>
        <w:rPr>
          <w:sz w:val="16"/>
          <w:szCs w:val="16"/>
        </w:rPr>
        <w:t xml:space="preserve">AMD </w:t>
      </w:r>
      <w:r>
        <w:rPr>
          <w:color w:val="000000"/>
          <w:sz w:val="16"/>
          <w:szCs w:val="16"/>
        </w:rPr>
        <w:t>Corporation oder ihrer Tochtergesellschaften</w:t>
      </w:r>
    </w:p>
    <w:p w14:paraId="29C3D88A" w14:textId="77777777" w:rsidR="00E879FD" w:rsidRDefault="00E879FD">
      <w:pPr>
        <w:pBdr>
          <w:top w:val="nil"/>
          <w:left w:val="nil"/>
          <w:bottom w:val="nil"/>
          <w:right w:val="nil"/>
          <w:between w:val="nil"/>
        </w:pBdr>
        <w:spacing w:line="276" w:lineRule="auto"/>
        <w:rPr>
          <w:b/>
        </w:rPr>
      </w:pPr>
    </w:p>
    <w:p w14:paraId="5956F03C" w14:textId="77777777" w:rsidR="00E879FD" w:rsidRDefault="00E879FD">
      <w:pPr>
        <w:pBdr>
          <w:top w:val="nil"/>
          <w:left w:val="nil"/>
          <w:bottom w:val="nil"/>
          <w:right w:val="nil"/>
          <w:between w:val="nil"/>
        </w:pBdr>
        <w:spacing w:line="276" w:lineRule="auto"/>
        <w:rPr>
          <w:b/>
        </w:rPr>
      </w:pPr>
    </w:p>
    <w:p w14:paraId="774B2049" w14:textId="77777777" w:rsidR="00E879FD" w:rsidRPr="00C02403" w:rsidRDefault="00000000">
      <w:pPr>
        <w:pBdr>
          <w:top w:val="nil"/>
          <w:left w:val="nil"/>
          <w:bottom w:val="nil"/>
          <w:right w:val="nil"/>
          <w:between w:val="nil"/>
        </w:pBdr>
        <w:spacing w:line="240" w:lineRule="auto"/>
        <w:ind w:right="283"/>
        <w:jc w:val="both"/>
        <w:rPr>
          <w:rFonts w:ascii="Times New Roman" w:eastAsia="Times New Roman" w:hAnsi="Times New Roman"/>
          <w:color w:val="000000"/>
          <w:sz w:val="24"/>
          <w:lang w:val="fr-FR"/>
        </w:rPr>
      </w:pPr>
      <w:r w:rsidRPr="00C02403">
        <w:rPr>
          <w:b/>
          <w:color w:val="000000"/>
          <w:lang w:val="fr-FR"/>
        </w:rPr>
        <w:t>Leserkontakt:</w:t>
      </w:r>
    </w:p>
    <w:p w14:paraId="18227F57" w14:textId="77777777" w:rsidR="00E879FD" w:rsidRPr="00C02403" w:rsidRDefault="00000000">
      <w:pPr>
        <w:pBdr>
          <w:top w:val="nil"/>
          <w:left w:val="nil"/>
          <w:bottom w:val="nil"/>
          <w:right w:val="nil"/>
          <w:between w:val="nil"/>
        </w:pBdr>
        <w:spacing w:line="240" w:lineRule="auto"/>
        <w:ind w:right="283"/>
        <w:jc w:val="both"/>
        <w:rPr>
          <w:rFonts w:ascii="Times New Roman" w:eastAsia="Times New Roman" w:hAnsi="Times New Roman"/>
          <w:color w:val="000000"/>
          <w:sz w:val="24"/>
          <w:lang w:val="fr-FR"/>
        </w:rPr>
      </w:pPr>
      <w:r w:rsidRPr="00C02403">
        <w:rPr>
          <w:color w:val="000000"/>
          <w:lang w:val="fr-FR"/>
        </w:rPr>
        <w:t>congatec</w:t>
      </w:r>
    </w:p>
    <w:p w14:paraId="7E7BF8F4" w14:textId="77777777" w:rsidR="00E879FD" w:rsidRPr="00C02403" w:rsidRDefault="00000000">
      <w:pPr>
        <w:pBdr>
          <w:top w:val="nil"/>
          <w:left w:val="nil"/>
          <w:bottom w:val="nil"/>
          <w:right w:val="nil"/>
          <w:between w:val="nil"/>
        </w:pBdr>
        <w:spacing w:line="240" w:lineRule="auto"/>
        <w:ind w:right="283"/>
        <w:jc w:val="both"/>
        <w:rPr>
          <w:rFonts w:ascii="Times New Roman" w:eastAsia="Times New Roman" w:hAnsi="Times New Roman"/>
          <w:color w:val="000000"/>
          <w:sz w:val="24"/>
          <w:lang w:val="fr-FR"/>
        </w:rPr>
      </w:pPr>
      <w:r w:rsidRPr="00C02403">
        <w:rPr>
          <w:color w:val="000000"/>
          <w:lang w:val="fr-FR"/>
        </w:rPr>
        <w:t>Phone: +49-991-2700-0</w:t>
      </w:r>
    </w:p>
    <w:p w14:paraId="750AAC5D" w14:textId="77777777" w:rsidR="00E879FD" w:rsidRPr="00C02403" w:rsidRDefault="00000000">
      <w:pPr>
        <w:pBdr>
          <w:top w:val="nil"/>
          <w:left w:val="nil"/>
          <w:bottom w:val="nil"/>
          <w:right w:val="nil"/>
          <w:between w:val="nil"/>
        </w:pBdr>
        <w:spacing w:line="240" w:lineRule="auto"/>
        <w:rPr>
          <w:rFonts w:ascii="Times New Roman" w:eastAsia="Times New Roman" w:hAnsi="Times New Roman"/>
          <w:color w:val="000000"/>
          <w:sz w:val="24"/>
          <w:lang w:val="fr-FR"/>
        </w:rPr>
      </w:pPr>
      <w:r w:rsidRPr="00C02403">
        <w:rPr>
          <w:color w:val="0000FF"/>
          <w:u w:val="single"/>
          <w:lang w:val="fr-FR"/>
        </w:rPr>
        <w:t>info@congatec.com </w:t>
      </w:r>
    </w:p>
    <w:p w14:paraId="35835237" w14:textId="77777777" w:rsidR="00E879FD" w:rsidRPr="00C02403" w:rsidRDefault="00000000">
      <w:pPr>
        <w:pBdr>
          <w:top w:val="nil"/>
          <w:left w:val="nil"/>
          <w:bottom w:val="nil"/>
          <w:right w:val="nil"/>
          <w:between w:val="nil"/>
        </w:pBdr>
        <w:spacing w:line="240" w:lineRule="auto"/>
        <w:ind w:right="283"/>
        <w:jc w:val="both"/>
        <w:rPr>
          <w:rFonts w:ascii="Times New Roman" w:eastAsia="Times New Roman" w:hAnsi="Times New Roman"/>
          <w:color w:val="000000"/>
          <w:sz w:val="24"/>
          <w:lang w:val="en-GB"/>
        </w:rPr>
      </w:pPr>
      <w:hyperlink r:id="rId15">
        <w:r w:rsidRPr="00C02403">
          <w:rPr>
            <w:color w:val="0000FF"/>
            <w:u w:val="single"/>
            <w:lang w:val="en-GB"/>
          </w:rPr>
          <w:t>www.congatec.com</w:t>
        </w:r>
      </w:hyperlink>
    </w:p>
    <w:p w14:paraId="09F5C726" w14:textId="77777777" w:rsidR="00E879FD" w:rsidRPr="00C02403" w:rsidRDefault="00E879FD">
      <w:pPr>
        <w:rPr>
          <w:lang w:val="en-GB"/>
        </w:rPr>
      </w:pPr>
    </w:p>
    <w:p w14:paraId="34E5B500" w14:textId="77777777" w:rsidR="00E879FD" w:rsidRPr="00C02403" w:rsidRDefault="00000000">
      <w:pPr>
        <w:pBdr>
          <w:top w:val="nil"/>
          <w:left w:val="nil"/>
          <w:bottom w:val="nil"/>
          <w:right w:val="nil"/>
          <w:between w:val="nil"/>
        </w:pBdr>
        <w:spacing w:line="240" w:lineRule="auto"/>
        <w:ind w:right="283"/>
        <w:jc w:val="both"/>
        <w:rPr>
          <w:rFonts w:ascii="Times New Roman" w:eastAsia="Times New Roman" w:hAnsi="Times New Roman"/>
          <w:color w:val="000000"/>
          <w:sz w:val="24"/>
          <w:lang w:val="en-GB"/>
        </w:rPr>
      </w:pPr>
      <w:r w:rsidRPr="00C02403">
        <w:rPr>
          <w:b/>
          <w:color w:val="000000"/>
          <w:lang w:val="en-GB"/>
        </w:rPr>
        <w:t>Pressekontakt congatec:</w:t>
      </w:r>
    </w:p>
    <w:p w14:paraId="6B5DA3AE" w14:textId="77777777" w:rsidR="00E879FD" w:rsidRPr="00C02403" w:rsidRDefault="00000000">
      <w:pPr>
        <w:pBdr>
          <w:top w:val="nil"/>
          <w:left w:val="nil"/>
          <w:bottom w:val="nil"/>
          <w:right w:val="nil"/>
          <w:between w:val="nil"/>
        </w:pBdr>
        <w:spacing w:line="240" w:lineRule="auto"/>
        <w:ind w:right="283"/>
        <w:jc w:val="both"/>
        <w:rPr>
          <w:rFonts w:ascii="Times New Roman" w:eastAsia="Times New Roman" w:hAnsi="Times New Roman"/>
          <w:color w:val="000000"/>
          <w:sz w:val="24"/>
          <w:lang w:val="en-GB"/>
        </w:rPr>
      </w:pPr>
      <w:r w:rsidRPr="00C02403">
        <w:rPr>
          <w:color w:val="000000"/>
          <w:lang w:val="en-GB"/>
        </w:rPr>
        <w:t>congatec</w:t>
      </w:r>
    </w:p>
    <w:p w14:paraId="025D2C85" w14:textId="77777777" w:rsidR="00E879FD" w:rsidRPr="00C02403" w:rsidRDefault="00000000">
      <w:pPr>
        <w:pBdr>
          <w:top w:val="nil"/>
          <w:left w:val="nil"/>
          <w:bottom w:val="nil"/>
          <w:right w:val="nil"/>
          <w:between w:val="nil"/>
        </w:pBdr>
        <w:spacing w:line="240" w:lineRule="auto"/>
        <w:ind w:right="283"/>
        <w:jc w:val="both"/>
        <w:rPr>
          <w:rFonts w:ascii="Times New Roman" w:eastAsia="Times New Roman" w:hAnsi="Times New Roman"/>
          <w:color w:val="000000"/>
          <w:sz w:val="24"/>
          <w:lang w:val="en-GB"/>
        </w:rPr>
      </w:pPr>
      <w:r w:rsidRPr="00C02403">
        <w:rPr>
          <w:color w:val="000000"/>
          <w:lang w:val="en-GB"/>
        </w:rPr>
        <w:t>Christof Wilde</w:t>
      </w:r>
    </w:p>
    <w:p w14:paraId="4B81A9C8" w14:textId="77777777" w:rsidR="00E879FD" w:rsidRPr="00C02403" w:rsidRDefault="00000000">
      <w:pPr>
        <w:pBdr>
          <w:top w:val="nil"/>
          <w:left w:val="nil"/>
          <w:bottom w:val="nil"/>
          <w:right w:val="nil"/>
          <w:between w:val="nil"/>
        </w:pBdr>
        <w:spacing w:line="240" w:lineRule="auto"/>
        <w:ind w:right="283"/>
        <w:jc w:val="both"/>
        <w:rPr>
          <w:rFonts w:ascii="Times New Roman" w:eastAsia="Times New Roman" w:hAnsi="Times New Roman"/>
          <w:color w:val="000000"/>
          <w:sz w:val="24"/>
          <w:lang w:val="en-GB"/>
        </w:rPr>
      </w:pPr>
      <w:r w:rsidRPr="00C02403">
        <w:rPr>
          <w:color w:val="000000"/>
          <w:lang w:val="en-GB"/>
        </w:rPr>
        <w:t>Phone:  +49-991-2700-2822</w:t>
      </w:r>
    </w:p>
    <w:p w14:paraId="485B31BA" w14:textId="77777777" w:rsidR="00E879FD" w:rsidRPr="00C02403" w:rsidRDefault="00000000">
      <w:pPr>
        <w:pBdr>
          <w:top w:val="nil"/>
          <w:left w:val="nil"/>
          <w:bottom w:val="nil"/>
          <w:right w:val="nil"/>
          <w:between w:val="nil"/>
        </w:pBdr>
        <w:spacing w:line="240" w:lineRule="auto"/>
        <w:ind w:right="283"/>
        <w:jc w:val="both"/>
        <w:rPr>
          <w:rFonts w:ascii="Times New Roman" w:eastAsia="Times New Roman" w:hAnsi="Times New Roman"/>
          <w:color w:val="000000"/>
          <w:sz w:val="24"/>
          <w:lang w:val="en-GB"/>
        </w:rPr>
      </w:pPr>
      <w:r w:rsidRPr="00C02403">
        <w:rPr>
          <w:color w:val="0000FF"/>
          <w:u w:val="single"/>
          <w:lang w:val="en-GB"/>
        </w:rPr>
        <w:t>christof.wilde@congatec.com</w:t>
      </w:r>
    </w:p>
    <w:p w14:paraId="6D8F95C4" w14:textId="77777777" w:rsidR="00E879FD" w:rsidRPr="00C02403" w:rsidRDefault="00E879FD">
      <w:pPr>
        <w:rPr>
          <w:lang w:val="en-GB"/>
        </w:rPr>
      </w:pPr>
    </w:p>
    <w:p w14:paraId="3871814E" w14:textId="77777777" w:rsidR="00E879FD" w:rsidRPr="00C02403" w:rsidRDefault="00000000">
      <w:pPr>
        <w:pBdr>
          <w:top w:val="nil"/>
          <w:left w:val="nil"/>
          <w:bottom w:val="nil"/>
          <w:right w:val="nil"/>
          <w:between w:val="nil"/>
        </w:pBdr>
        <w:spacing w:line="240" w:lineRule="auto"/>
        <w:rPr>
          <w:rFonts w:ascii="Times New Roman" w:eastAsia="Times New Roman" w:hAnsi="Times New Roman"/>
          <w:color w:val="000000"/>
          <w:sz w:val="24"/>
          <w:lang w:val="en-GB"/>
        </w:rPr>
      </w:pPr>
      <w:r w:rsidRPr="00C02403">
        <w:rPr>
          <w:b/>
          <w:color w:val="000000"/>
          <w:lang w:val="en-GB"/>
        </w:rPr>
        <w:t>Pressekontakt Agentur:</w:t>
      </w:r>
    </w:p>
    <w:p w14:paraId="757A65F9" w14:textId="77777777" w:rsidR="00E879FD" w:rsidRPr="00C02403" w:rsidRDefault="00000000">
      <w:pPr>
        <w:pBdr>
          <w:top w:val="nil"/>
          <w:left w:val="nil"/>
          <w:bottom w:val="nil"/>
          <w:right w:val="nil"/>
          <w:between w:val="nil"/>
        </w:pBdr>
        <w:spacing w:line="240" w:lineRule="auto"/>
        <w:rPr>
          <w:rFonts w:ascii="Times New Roman" w:eastAsia="Times New Roman" w:hAnsi="Times New Roman"/>
          <w:color w:val="000000"/>
          <w:sz w:val="24"/>
          <w:lang w:val="en-GB"/>
        </w:rPr>
      </w:pPr>
      <w:r w:rsidRPr="00C02403">
        <w:rPr>
          <w:color w:val="000000"/>
          <w:lang w:val="en-GB"/>
        </w:rPr>
        <w:t>Publitek GmbH</w:t>
      </w:r>
    </w:p>
    <w:p w14:paraId="73A6FD16" w14:textId="77777777" w:rsidR="00E879FD" w:rsidRPr="00C02403" w:rsidRDefault="00000000">
      <w:pPr>
        <w:pBdr>
          <w:top w:val="nil"/>
          <w:left w:val="nil"/>
          <w:bottom w:val="nil"/>
          <w:right w:val="nil"/>
          <w:between w:val="nil"/>
        </w:pBdr>
        <w:spacing w:line="240" w:lineRule="auto"/>
        <w:rPr>
          <w:rFonts w:ascii="Times New Roman" w:eastAsia="Times New Roman" w:hAnsi="Times New Roman"/>
          <w:color w:val="000000"/>
          <w:sz w:val="24"/>
          <w:lang w:val="en-GB"/>
        </w:rPr>
      </w:pPr>
      <w:r w:rsidRPr="00C02403">
        <w:rPr>
          <w:color w:val="000000"/>
          <w:lang w:val="en-GB"/>
        </w:rPr>
        <w:t>Julia Wolff</w:t>
      </w:r>
    </w:p>
    <w:p w14:paraId="68482A1A" w14:textId="77777777" w:rsidR="00E879FD" w:rsidRPr="00C02403" w:rsidRDefault="00000000">
      <w:pPr>
        <w:pBdr>
          <w:top w:val="nil"/>
          <w:left w:val="nil"/>
          <w:bottom w:val="nil"/>
          <w:right w:val="nil"/>
          <w:between w:val="nil"/>
        </w:pBdr>
        <w:spacing w:line="240" w:lineRule="auto"/>
        <w:rPr>
          <w:rFonts w:ascii="Times New Roman" w:eastAsia="Times New Roman" w:hAnsi="Times New Roman"/>
          <w:color w:val="000000"/>
          <w:sz w:val="24"/>
          <w:lang w:val="en-GB"/>
        </w:rPr>
      </w:pPr>
      <w:r w:rsidRPr="00C02403">
        <w:rPr>
          <w:color w:val="000000"/>
          <w:lang w:val="en-GB"/>
        </w:rPr>
        <w:t>+49 (0)4181 968098-18</w:t>
      </w:r>
    </w:p>
    <w:p w14:paraId="3384240D" w14:textId="77777777" w:rsidR="00E879FD" w:rsidRPr="00C02403" w:rsidRDefault="00000000">
      <w:pPr>
        <w:pBdr>
          <w:top w:val="nil"/>
          <w:left w:val="nil"/>
          <w:bottom w:val="nil"/>
          <w:right w:val="nil"/>
          <w:between w:val="nil"/>
        </w:pBdr>
        <w:spacing w:line="240" w:lineRule="auto"/>
        <w:rPr>
          <w:color w:val="000000"/>
          <w:lang w:val="en-GB"/>
        </w:rPr>
      </w:pPr>
      <w:hyperlink r:id="rId16">
        <w:r w:rsidRPr="00C02403">
          <w:rPr>
            <w:color w:val="0000FF"/>
            <w:u w:val="single"/>
            <w:lang w:val="en-GB"/>
          </w:rPr>
          <w:t>julia.wolff@publitek.com</w:t>
        </w:r>
      </w:hyperlink>
    </w:p>
    <w:p w14:paraId="6F67E32E" w14:textId="77777777" w:rsidR="00E879FD" w:rsidRPr="00C02403" w:rsidRDefault="00000000">
      <w:pPr>
        <w:pBdr>
          <w:top w:val="nil"/>
          <w:left w:val="nil"/>
          <w:bottom w:val="nil"/>
          <w:right w:val="nil"/>
          <w:between w:val="nil"/>
        </w:pBdr>
        <w:spacing w:line="240" w:lineRule="auto"/>
        <w:rPr>
          <w:rFonts w:ascii="Times New Roman" w:eastAsia="Times New Roman" w:hAnsi="Times New Roman"/>
          <w:color w:val="000000"/>
          <w:sz w:val="24"/>
          <w:lang w:val="en-GB"/>
        </w:rPr>
      </w:pPr>
      <w:r w:rsidRPr="00C02403">
        <w:rPr>
          <w:color w:val="000000"/>
          <w:lang w:val="en-GB"/>
        </w:rPr>
        <w:t>Bremer Straße 6</w:t>
      </w:r>
    </w:p>
    <w:p w14:paraId="7F836174" w14:textId="77777777" w:rsidR="00E879FD" w:rsidRDefault="00000000">
      <w:pPr>
        <w:pBdr>
          <w:top w:val="nil"/>
          <w:left w:val="nil"/>
          <w:bottom w:val="nil"/>
          <w:right w:val="nil"/>
          <w:between w:val="nil"/>
        </w:pBdr>
        <w:spacing w:line="240" w:lineRule="auto"/>
        <w:rPr>
          <w:rFonts w:ascii="Times New Roman" w:eastAsia="Times New Roman" w:hAnsi="Times New Roman"/>
          <w:color w:val="000000"/>
          <w:sz w:val="24"/>
        </w:rPr>
      </w:pPr>
      <w:r>
        <w:rPr>
          <w:color w:val="000000"/>
        </w:rPr>
        <w:t>21244 Buchholz</w:t>
      </w:r>
    </w:p>
    <w:p w14:paraId="6E3EA82F" w14:textId="77777777" w:rsidR="00E879FD" w:rsidRDefault="00E879FD"/>
    <w:p w14:paraId="74C6F574" w14:textId="77777777" w:rsidR="00E879FD" w:rsidRDefault="00000000">
      <w:pPr>
        <w:pBdr>
          <w:top w:val="nil"/>
          <w:left w:val="nil"/>
          <w:bottom w:val="nil"/>
          <w:right w:val="nil"/>
          <w:between w:val="nil"/>
        </w:pBdr>
        <w:spacing w:line="240" w:lineRule="auto"/>
        <w:rPr>
          <w:rFonts w:ascii="Times New Roman" w:eastAsia="Times New Roman" w:hAnsi="Times New Roman"/>
          <w:color w:val="000000"/>
          <w:sz w:val="24"/>
        </w:rPr>
      </w:pPr>
      <w:r>
        <w:rPr>
          <w:b/>
          <w:color w:val="000000"/>
        </w:rPr>
        <w:t>Bitte senden Sie Beleghefte an:</w:t>
      </w:r>
    </w:p>
    <w:p w14:paraId="0FC35004" w14:textId="77777777" w:rsidR="00E879FD" w:rsidRPr="00C02403" w:rsidRDefault="00000000">
      <w:pPr>
        <w:pBdr>
          <w:top w:val="nil"/>
          <w:left w:val="nil"/>
          <w:bottom w:val="nil"/>
          <w:right w:val="nil"/>
          <w:between w:val="nil"/>
        </w:pBdr>
        <w:spacing w:line="240" w:lineRule="auto"/>
        <w:rPr>
          <w:rFonts w:ascii="Times New Roman" w:eastAsia="Times New Roman" w:hAnsi="Times New Roman"/>
          <w:color w:val="000000"/>
          <w:sz w:val="24"/>
          <w:lang w:val="it-IT"/>
        </w:rPr>
      </w:pPr>
      <w:r w:rsidRPr="00C02403">
        <w:rPr>
          <w:color w:val="000000"/>
          <w:lang w:val="it-IT"/>
        </w:rPr>
        <w:t>Publitek GmbH</w:t>
      </w:r>
    </w:p>
    <w:p w14:paraId="52E15A15" w14:textId="77777777" w:rsidR="00E879FD" w:rsidRPr="00C02403" w:rsidRDefault="00000000">
      <w:pPr>
        <w:pBdr>
          <w:top w:val="nil"/>
          <w:left w:val="nil"/>
          <w:bottom w:val="nil"/>
          <w:right w:val="nil"/>
          <w:between w:val="nil"/>
        </w:pBdr>
        <w:spacing w:line="240" w:lineRule="auto"/>
        <w:rPr>
          <w:rFonts w:ascii="Times New Roman" w:eastAsia="Times New Roman" w:hAnsi="Times New Roman"/>
          <w:color w:val="000000"/>
          <w:sz w:val="24"/>
          <w:lang w:val="it-IT"/>
        </w:rPr>
      </w:pPr>
      <w:r w:rsidRPr="00C02403">
        <w:rPr>
          <w:color w:val="000000"/>
          <w:lang w:val="it-IT"/>
        </w:rPr>
        <w:t>Diana Penzien</w:t>
      </w:r>
    </w:p>
    <w:p w14:paraId="2A49AD0C" w14:textId="77777777" w:rsidR="00E879FD" w:rsidRPr="00C02403" w:rsidRDefault="00000000">
      <w:pPr>
        <w:pBdr>
          <w:top w:val="nil"/>
          <w:left w:val="nil"/>
          <w:bottom w:val="nil"/>
          <w:right w:val="nil"/>
          <w:between w:val="nil"/>
        </w:pBdr>
        <w:spacing w:line="240" w:lineRule="auto"/>
        <w:rPr>
          <w:rFonts w:ascii="Times New Roman" w:eastAsia="Times New Roman" w:hAnsi="Times New Roman"/>
          <w:color w:val="000000"/>
          <w:sz w:val="24"/>
          <w:lang w:val="it-IT"/>
        </w:rPr>
      </w:pPr>
      <w:r w:rsidRPr="00C02403">
        <w:rPr>
          <w:color w:val="000000"/>
          <w:lang w:val="it-IT"/>
        </w:rPr>
        <w:t>Bremer Straße 6</w:t>
      </w:r>
    </w:p>
    <w:p w14:paraId="678081E5" w14:textId="77777777" w:rsidR="00E879FD" w:rsidRDefault="00000000">
      <w:pPr>
        <w:pBdr>
          <w:top w:val="nil"/>
          <w:left w:val="nil"/>
          <w:bottom w:val="nil"/>
          <w:right w:val="nil"/>
          <w:between w:val="nil"/>
        </w:pBdr>
        <w:spacing w:line="240" w:lineRule="auto"/>
        <w:rPr>
          <w:sz w:val="16"/>
          <w:szCs w:val="16"/>
        </w:rPr>
      </w:pPr>
      <w:r>
        <w:rPr>
          <w:color w:val="000000"/>
        </w:rPr>
        <w:t>21244 Buchholz</w:t>
      </w:r>
    </w:p>
    <w:sectPr w:rsidR="00E879FD">
      <w:headerReference w:type="default" r:id="rId17"/>
      <w:footerReference w:type="default" r:id="rId18"/>
      <w:headerReference w:type="first" r:id="rId19"/>
      <w:footerReference w:type="first" r:id="rId20"/>
      <w:pgSz w:w="11906" w:h="16838"/>
      <w:pgMar w:top="1417" w:right="1417" w:bottom="1134" w:left="1417"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D8C6E0" w14:textId="77777777" w:rsidR="003E242A" w:rsidRDefault="003E242A">
      <w:pPr>
        <w:spacing w:line="240" w:lineRule="auto"/>
      </w:pPr>
      <w:r>
        <w:separator/>
      </w:r>
    </w:p>
  </w:endnote>
  <w:endnote w:type="continuationSeparator" w:id="0">
    <w:p w14:paraId="4160AE39" w14:textId="77777777" w:rsidR="003E242A" w:rsidRDefault="003E242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F2B2C8" w14:textId="77777777" w:rsidR="00E879FD" w:rsidRDefault="00E879FD">
    <w:pPr>
      <w:pBdr>
        <w:top w:val="nil"/>
        <w:left w:val="nil"/>
        <w:bottom w:val="nil"/>
        <w:right w:val="nil"/>
        <w:between w:val="nil"/>
      </w:pBdr>
      <w:tabs>
        <w:tab w:val="center" w:pos="4536"/>
        <w:tab w:val="right" w:pos="9072"/>
      </w:tabs>
      <w:spacing w:line="240" w:lineRule="auto"/>
      <w:rPr>
        <w:color w:val="000000"/>
      </w:rPr>
    </w:pPr>
  </w:p>
  <w:p w14:paraId="66C185DC" w14:textId="77777777" w:rsidR="00E879FD" w:rsidRDefault="00E879FD">
    <w:pPr>
      <w:pBdr>
        <w:top w:val="nil"/>
        <w:left w:val="nil"/>
        <w:bottom w:val="nil"/>
        <w:right w:val="nil"/>
        <w:between w:val="nil"/>
      </w:pBdr>
      <w:tabs>
        <w:tab w:val="center" w:pos="4536"/>
        <w:tab w:val="right" w:pos="9072"/>
      </w:tabs>
      <w:spacing w:line="240" w:lineRule="auto"/>
      <w:rPr>
        <w:color w:val="000000"/>
      </w:rPr>
    </w:pPr>
  </w:p>
  <w:p w14:paraId="293935A5" w14:textId="77777777" w:rsidR="00E879FD" w:rsidRDefault="00E879FD">
    <w:pPr>
      <w:pBdr>
        <w:top w:val="nil"/>
        <w:left w:val="nil"/>
        <w:bottom w:val="nil"/>
        <w:right w:val="nil"/>
        <w:between w:val="nil"/>
      </w:pBdr>
      <w:tabs>
        <w:tab w:val="center" w:pos="4536"/>
        <w:tab w:val="right" w:pos="9072"/>
      </w:tabs>
      <w:spacing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A65DB3" w14:textId="77777777" w:rsidR="00E879FD" w:rsidRDefault="00E879FD">
    <w:pPr>
      <w:widowControl w:val="0"/>
      <w:pBdr>
        <w:top w:val="nil"/>
        <w:left w:val="nil"/>
        <w:bottom w:val="nil"/>
        <w:right w:val="nil"/>
        <w:between w:val="nil"/>
      </w:pBdr>
      <w:spacing w:line="276" w:lineRule="auto"/>
      <w:rPr>
        <w:color w:val="000000"/>
      </w:rPr>
    </w:pPr>
  </w:p>
  <w:tbl>
    <w:tblPr>
      <w:tblStyle w:val="af0"/>
      <w:tblW w:w="9060" w:type="dxa"/>
      <w:tblInd w:w="0" w:type="dxa"/>
      <w:tblLayout w:type="fixed"/>
      <w:tblLook w:val="0600" w:firstRow="0" w:lastRow="0" w:firstColumn="0" w:lastColumn="0" w:noHBand="1" w:noVBand="1"/>
    </w:tblPr>
    <w:tblGrid>
      <w:gridCol w:w="3020"/>
      <w:gridCol w:w="3020"/>
      <w:gridCol w:w="3020"/>
    </w:tblGrid>
    <w:tr w:rsidR="00E879FD" w14:paraId="1B4CD046" w14:textId="77777777">
      <w:trPr>
        <w:trHeight w:val="300"/>
      </w:trPr>
      <w:tc>
        <w:tcPr>
          <w:tcW w:w="3020" w:type="dxa"/>
        </w:tcPr>
        <w:p w14:paraId="2065435E" w14:textId="77777777" w:rsidR="00E879FD" w:rsidRDefault="00E879FD">
          <w:pPr>
            <w:pBdr>
              <w:top w:val="nil"/>
              <w:left w:val="nil"/>
              <w:bottom w:val="nil"/>
              <w:right w:val="nil"/>
              <w:between w:val="nil"/>
            </w:pBdr>
            <w:tabs>
              <w:tab w:val="center" w:pos="4536"/>
              <w:tab w:val="right" w:pos="9072"/>
            </w:tabs>
            <w:ind w:left="-115"/>
            <w:rPr>
              <w:color w:val="000000"/>
            </w:rPr>
          </w:pPr>
        </w:p>
      </w:tc>
      <w:tc>
        <w:tcPr>
          <w:tcW w:w="3020" w:type="dxa"/>
        </w:tcPr>
        <w:p w14:paraId="67D62E7C" w14:textId="77777777" w:rsidR="00E879FD" w:rsidRDefault="00E879FD">
          <w:pPr>
            <w:pBdr>
              <w:top w:val="nil"/>
              <w:left w:val="nil"/>
              <w:bottom w:val="nil"/>
              <w:right w:val="nil"/>
              <w:between w:val="nil"/>
            </w:pBdr>
            <w:tabs>
              <w:tab w:val="center" w:pos="4536"/>
              <w:tab w:val="right" w:pos="9072"/>
            </w:tabs>
            <w:jc w:val="center"/>
            <w:rPr>
              <w:color w:val="000000"/>
            </w:rPr>
          </w:pPr>
        </w:p>
      </w:tc>
      <w:tc>
        <w:tcPr>
          <w:tcW w:w="3020" w:type="dxa"/>
        </w:tcPr>
        <w:p w14:paraId="1EC233E0" w14:textId="77777777" w:rsidR="00E879FD" w:rsidRDefault="00E879FD">
          <w:pPr>
            <w:pBdr>
              <w:top w:val="nil"/>
              <w:left w:val="nil"/>
              <w:bottom w:val="nil"/>
              <w:right w:val="nil"/>
              <w:between w:val="nil"/>
            </w:pBdr>
            <w:tabs>
              <w:tab w:val="center" w:pos="4536"/>
              <w:tab w:val="right" w:pos="9072"/>
            </w:tabs>
            <w:ind w:right="-115"/>
            <w:jc w:val="right"/>
            <w:rPr>
              <w:color w:val="000000"/>
            </w:rPr>
          </w:pPr>
        </w:p>
      </w:tc>
    </w:tr>
  </w:tbl>
  <w:p w14:paraId="6CDED43C" w14:textId="77777777" w:rsidR="00E879FD" w:rsidRDefault="00E879FD">
    <w:pPr>
      <w:pBdr>
        <w:top w:val="nil"/>
        <w:left w:val="nil"/>
        <w:bottom w:val="nil"/>
        <w:right w:val="nil"/>
        <w:between w:val="nil"/>
      </w:pBdr>
      <w:tabs>
        <w:tab w:val="center" w:pos="4536"/>
        <w:tab w:val="right" w:pos="9072"/>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D95ACB" w14:textId="77777777" w:rsidR="003E242A" w:rsidRDefault="003E242A">
      <w:pPr>
        <w:spacing w:line="240" w:lineRule="auto"/>
      </w:pPr>
      <w:r>
        <w:separator/>
      </w:r>
    </w:p>
  </w:footnote>
  <w:footnote w:type="continuationSeparator" w:id="0">
    <w:p w14:paraId="3AF72C69" w14:textId="77777777" w:rsidR="003E242A" w:rsidRDefault="003E242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42ACA1" w14:textId="77777777" w:rsidR="00E879FD" w:rsidRDefault="00E879FD">
    <w:pPr>
      <w:pBdr>
        <w:top w:val="nil"/>
        <w:left w:val="nil"/>
        <w:bottom w:val="nil"/>
        <w:right w:val="nil"/>
        <w:between w:val="nil"/>
      </w:pBdr>
      <w:tabs>
        <w:tab w:val="center" w:pos="4536"/>
        <w:tab w:val="right" w:pos="9072"/>
      </w:tabs>
      <w:spacing w:line="240" w:lineRule="auto"/>
      <w:rPr>
        <w:color w:val="000000"/>
      </w:rPr>
    </w:pPr>
  </w:p>
  <w:p w14:paraId="75E54FD0" w14:textId="77777777" w:rsidR="00E879FD" w:rsidRDefault="00E879FD">
    <w:pPr>
      <w:pBdr>
        <w:top w:val="nil"/>
        <w:left w:val="nil"/>
        <w:bottom w:val="nil"/>
        <w:right w:val="nil"/>
        <w:between w:val="nil"/>
      </w:pBdr>
      <w:tabs>
        <w:tab w:val="center" w:pos="4536"/>
        <w:tab w:val="right" w:pos="9072"/>
      </w:tabs>
      <w:spacing w:line="240" w:lineRule="auto"/>
      <w:rPr>
        <w:color w:val="000000"/>
      </w:rPr>
    </w:pPr>
  </w:p>
  <w:p w14:paraId="7933C8A9" w14:textId="77777777" w:rsidR="00E879FD" w:rsidRDefault="00E879FD">
    <w:pPr>
      <w:pBdr>
        <w:top w:val="nil"/>
        <w:left w:val="nil"/>
        <w:bottom w:val="nil"/>
        <w:right w:val="nil"/>
        <w:between w:val="nil"/>
      </w:pBdr>
      <w:tabs>
        <w:tab w:val="center" w:pos="4536"/>
        <w:tab w:val="right" w:pos="9072"/>
      </w:tabs>
      <w:spacing w:line="240" w:lineRule="auto"/>
      <w:rPr>
        <w:color w:val="000000"/>
      </w:rPr>
    </w:pPr>
  </w:p>
  <w:p w14:paraId="52A5E890" w14:textId="77777777" w:rsidR="00E879FD" w:rsidRDefault="00E879FD">
    <w:pPr>
      <w:pBdr>
        <w:top w:val="nil"/>
        <w:left w:val="nil"/>
        <w:bottom w:val="nil"/>
        <w:right w:val="nil"/>
        <w:between w:val="nil"/>
      </w:pBdr>
      <w:tabs>
        <w:tab w:val="center" w:pos="4536"/>
        <w:tab w:val="right" w:pos="9072"/>
      </w:tabs>
      <w:spacing w:line="240" w:lineRule="auto"/>
      <w:rPr>
        <w:color w:val="000000"/>
      </w:rPr>
    </w:pPr>
  </w:p>
  <w:p w14:paraId="41D7CF2E" w14:textId="77777777" w:rsidR="00E879FD" w:rsidRDefault="00E879FD">
    <w:pPr>
      <w:pBdr>
        <w:top w:val="nil"/>
        <w:left w:val="nil"/>
        <w:bottom w:val="nil"/>
        <w:right w:val="nil"/>
        <w:between w:val="nil"/>
      </w:pBdr>
      <w:tabs>
        <w:tab w:val="center" w:pos="4536"/>
        <w:tab w:val="right" w:pos="9072"/>
      </w:tabs>
      <w:spacing w:line="240" w:lineRule="auto"/>
      <w:rPr>
        <w:color w:val="000000"/>
      </w:rPr>
    </w:pPr>
  </w:p>
  <w:p w14:paraId="0F33DCA6" w14:textId="77777777" w:rsidR="00E879FD" w:rsidRDefault="00E879FD">
    <w:pPr>
      <w:pBdr>
        <w:top w:val="nil"/>
        <w:left w:val="nil"/>
        <w:bottom w:val="nil"/>
        <w:right w:val="nil"/>
        <w:between w:val="nil"/>
      </w:pBdr>
      <w:tabs>
        <w:tab w:val="center" w:pos="4536"/>
        <w:tab w:val="right" w:pos="9072"/>
      </w:tabs>
      <w:spacing w:line="240" w:lineRule="auto"/>
      <w:rPr>
        <w:color w:val="000000"/>
      </w:rPr>
    </w:pPr>
  </w:p>
  <w:p w14:paraId="53A483FA" w14:textId="77777777" w:rsidR="00E879FD" w:rsidRDefault="00E879FD">
    <w:pPr>
      <w:pBdr>
        <w:top w:val="nil"/>
        <w:left w:val="nil"/>
        <w:bottom w:val="nil"/>
        <w:right w:val="nil"/>
        <w:between w:val="nil"/>
      </w:pBdr>
      <w:tabs>
        <w:tab w:val="center" w:pos="4536"/>
        <w:tab w:val="right" w:pos="9072"/>
      </w:tabs>
      <w:spacing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280B6E" w14:textId="77777777" w:rsidR="00E879FD" w:rsidRDefault="00E879FD">
    <w:pPr>
      <w:widowControl w:val="0"/>
      <w:pBdr>
        <w:top w:val="nil"/>
        <w:left w:val="nil"/>
        <w:bottom w:val="nil"/>
        <w:right w:val="nil"/>
        <w:between w:val="nil"/>
      </w:pBdr>
      <w:spacing w:line="276" w:lineRule="auto"/>
      <w:rPr>
        <w:sz w:val="16"/>
        <w:szCs w:val="16"/>
      </w:rPr>
    </w:pPr>
  </w:p>
  <w:tbl>
    <w:tblPr>
      <w:tblStyle w:val="af"/>
      <w:tblW w:w="9060" w:type="dxa"/>
      <w:tblInd w:w="0" w:type="dxa"/>
      <w:tblLayout w:type="fixed"/>
      <w:tblLook w:val="0600" w:firstRow="0" w:lastRow="0" w:firstColumn="0" w:lastColumn="0" w:noHBand="1" w:noVBand="1"/>
    </w:tblPr>
    <w:tblGrid>
      <w:gridCol w:w="3020"/>
      <w:gridCol w:w="3020"/>
      <w:gridCol w:w="3020"/>
    </w:tblGrid>
    <w:tr w:rsidR="00E879FD" w14:paraId="3A620436" w14:textId="77777777">
      <w:trPr>
        <w:trHeight w:val="300"/>
      </w:trPr>
      <w:tc>
        <w:tcPr>
          <w:tcW w:w="3020" w:type="dxa"/>
        </w:tcPr>
        <w:p w14:paraId="514B3481" w14:textId="77777777" w:rsidR="00E879FD" w:rsidRDefault="00E879FD">
          <w:pPr>
            <w:pBdr>
              <w:top w:val="nil"/>
              <w:left w:val="nil"/>
              <w:bottom w:val="nil"/>
              <w:right w:val="nil"/>
              <w:between w:val="nil"/>
            </w:pBdr>
            <w:tabs>
              <w:tab w:val="center" w:pos="4536"/>
              <w:tab w:val="right" w:pos="9072"/>
            </w:tabs>
            <w:ind w:left="-115"/>
            <w:rPr>
              <w:color w:val="000000"/>
            </w:rPr>
          </w:pPr>
        </w:p>
      </w:tc>
      <w:tc>
        <w:tcPr>
          <w:tcW w:w="3020" w:type="dxa"/>
        </w:tcPr>
        <w:p w14:paraId="4D2A25E2" w14:textId="77777777" w:rsidR="00E879FD" w:rsidRDefault="00E879FD">
          <w:pPr>
            <w:pBdr>
              <w:top w:val="nil"/>
              <w:left w:val="nil"/>
              <w:bottom w:val="nil"/>
              <w:right w:val="nil"/>
              <w:between w:val="nil"/>
            </w:pBdr>
            <w:tabs>
              <w:tab w:val="center" w:pos="4536"/>
              <w:tab w:val="right" w:pos="9072"/>
            </w:tabs>
            <w:jc w:val="center"/>
            <w:rPr>
              <w:color w:val="000000"/>
            </w:rPr>
          </w:pPr>
        </w:p>
      </w:tc>
      <w:tc>
        <w:tcPr>
          <w:tcW w:w="3020" w:type="dxa"/>
        </w:tcPr>
        <w:p w14:paraId="64FC33F4" w14:textId="77777777" w:rsidR="00E879FD" w:rsidRDefault="00E879FD">
          <w:pPr>
            <w:pBdr>
              <w:top w:val="nil"/>
              <w:left w:val="nil"/>
              <w:bottom w:val="nil"/>
              <w:right w:val="nil"/>
              <w:between w:val="nil"/>
            </w:pBdr>
            <w:tabs>
              <w:tab w:val="center" w:pos="4536"/>
              <w:tab w:val="right" w:pos="9072"/>
            </w:tabs>
            <w:ind w:right="-115"/>
            <w:jc w:val="right"/>
            <w:rPr>
              <w:color w:val="000000"/>
            </w:rPr>
          </w:pPr>
        </w:p>
      </w:tc>
    </w:tr>
  </w:tbl>
  <w:p w14:paraId="5D486D06" w14:textId="77777777" w:rsidR="00E879FD" w:rsidRDefault="00E879FD">
    <w:pPr>
      <w:pBdr>
        <w:top w:val="nil"/>
        <w:left w:val="nil"/>
        <w:bottom w:val="nil"/>
        <w:right w:val="nil"/>
        <w:between w:val="nil"/>
      </w:pBdr>
      <w:tabs>
        <w:tab w:val="center" w:pos="4536"/>
        <w:tab w:val="right" w:pos="9072"/>
      </w:tabs>
      <w:spacing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9FD"/>
    <w:rsid w:val="00261EBC"/>
    <w:rsid w:val="003E242A"/>
    <w:rsid w:val="00C02403"/>
    <w:rsid w:val="00E879F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6314F"/>
  <w15:docId w15:val="{181CDCC9-562F-4FE8-B877-F645D9279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de-DE" w:eastAsia="de-DE"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50178"/>
    <w:pPr>
      <w:suppressAutoHyphens/>
    </w:pPr>
    <w:rPr>
      <w:rFonts w:cs="Times New Roman"/>
      <w:kern w:val="24"/>
      <w:szCs w:val="24"/>
      <w:lang w:eastAsia="ar-SA"/>
    </w:rPr>
  </w:style>
  <w:style w:type="paragraph" w:styleId="berschrift1">
    <w:name w:val="heading 1"/>
    <w:basedOn w:val="Standard"/>
    <w:next w:val="Standard"/>
    <w:link w:val="berschrift1Zchn"/>
    <w:uiPriority w:val="9"/>
    <w:qFormat/>
    <w:rsid w:val="00367F0C"/>
    <w:pPr>
      <w:spacing w:line="276" w:lineRule="auto"/>
      <w:outlineLvl w:val="0"/>
    </w:pPr>
    <w:rPr>
      <w:b/>
      <w:bCs/>
      <w:noProof/>
      <w:sz w:val="36"/>
      <w:szCs w:val="36"/>
      <w:lang w:eastAsia="de-DE"/>
    </w:rPr>
  </w:style>
  <w:style w:type="paragraph" w:styleId="berschrift2">
    <w:name w:val="heading 2"/>
    <w:basedOn w:val="Standard"/>
    <w:next w:val="Standard"/>
    <w:uiPriority w:val="9"/>
    <w:semiHidden/>
    <w:unhideWhenUsed/>
    <w:qFormat/>
    <w:pPr>
      <w:keepNext/>
      <w:keepLines/>
      <w:spacing w:before="360" w:after="80"/>
      <w:outlineLvl w:val="1"/>
    </w:pPr>
    <w:rPr>
      <w:b/>
      <w:sz w:val="36"/>
      <w:szCs w:val="36"/>
    </w:rPr>
  </w:style>
  <w:style w:type="paragraph" w:styleId="berschrift3">
    <w:name w:val="heading 3"/>
    <w:basedOn w:val="Standard"/>
    <w:next w:val="Standard"/>
    <w:uiPriority w:val="9"/>
    <w:semiHidden/>
    <w:unhideWhenUsed/>
    <w:qFormat/>
    <w:pPr>
      <w:keepNext/>
      <w:keepLines/>
      <w:spacing w:before="280" w:after="80"/>
      <w:outlineLvl w:val="2"/>
    </w:pPr>
    <w:rPr>
      <w:b/>
      <w:sz w:val="28"/>
      <w:szCs w:val="28"/>
    </w:rPr>
  </w:style>
  <w:style w:type="paragraph" w:styleId="berschrift4">
    <w:name w:val="heading 4"/>
    <w:basedOn w:val="Standard"/>
    <w:next w:val="Standard"/>
    <w:uiPriority w:val="9"/>
    <w:semiHidden/>
    <w:unhideWhenUsed/>
    <w:qFormat/>
    <w:pPr>
      <w:keepNext/>
      <w:keepLines/>
      <w:spacing w:before="240" w:after="40"/>
      <w:outlineLvl w:val="3"/>
    </w:pPr>
    <w:rPr>
      <w:b/>
      <w:sz w:val="24"/>
    </w:rPr>
  </w:style>
  <w:style w:type="paragraph" w:styleId="berschrift5">
    <w:name w:val="heading 5"/>
    <w:basedOn w:val="Standard"/>
    <w:next w:val="Standard"/>
    <w:uiPriority w:val="9"/>
    <w:semiHidden/>
    <w:unhideWhenUsed/>
    <w:qFormat/>
    <w:pPr>
      <w:keepNext/>
      <w:keepLines/>
      <w:spacing w:before="220" w:after="40"/>
      <w:outlineLvl w:val="4"/>
    </w:pPr>
    <w:rPr>
      <w:b/>
      <w:szCs w:val="22"/>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NormalTable0">
    <w:name w:val="Normal Table0"/>
    <w:tblPr>
      <w:tblCellMar>
        <w:top w:w="0" w:type="dxa"/>
        <w:left w:w="0" w:type="dxa"/>
        <w:bottom w:w="0" w:type="dxa"/>
        <w:right w:w="0" w:type="dxa"/>
      </w:tblCellMar>
    </w:tblPr>
  </w:style>
  <w:style w:type="table" w:styleId="Tabellenraster">
    <w:name w:val="Table Grid"/>
    <w:basedOn w:val="NormaleTabelle"/>
    <w:uiPriority w:val="39"/>
    <w:rsid w:val="009E3CEF"/>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rsid w:val="00B54193"/>
    <w:rPr>
      <w:color w:val="0000FF"/>
      <w:u w:val="single"/>
    </w:rPr>
  </w:style>
  <w:style w:type="paragraph" w:customStyle="1" w:styleId="Standard1">
    <w:name w:val="Standard1"/>
    <w:uiPriority w:val="99"/>
    <w:rsid w:val="00467E79"/>
    <w:pPr>
      <w:suppressAutoHyphens/>
      <w:spacing w:line="240" w:lineRule="auto"/>
    </w:pPr>
    <w:rPr>
      <w:rFonts w:ascii="Times New Roman" w:hAnsi="Times New Roman" w:cs="Times New Roman"/>
      <w:kern w:val="1"/>
      <w:sz w:val="24"/>
      <w:szCs w:val="24"/>
      <w:lang w:eastAsia="ar-SA"/>
    </w:rPr>
  </w:style>
  <w:style w:type="character" w:customStyle="1" w:styleId="Kommentarzeichen1">
    <w:name w:val="Kommentarzeichen1"/>
    <w:rsid w:val="006B627C"/>
    <w:rPr>
      <w:sz w:val="16"/>
      <w:szCs w:val="16"/>
    </w:rPr>
  </w:style>
  <w:style w:type="paragraph" w:styleId="Sprechblasentext">
    <w:name w:val="Balloon Text"/>
    <w:basedOn w:val="Standard"/>
    <w:link w:val="SprechblasentextZchn"/>
    <w:uiPriority w:val="99"/>
    <w:semiHidden/>
    <w:unhideWhenUsed/>
    <w:rsid w:val="006B627C"/>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B627C"/>
    <w:rPr>
      <w:rFonts w:ascii="Tahoma" w:hAnsi="Tahoma" w:cs="Tahoma"/>
      <w:kern w:val="24"/>
      <w:sz w:val="16"/>
      <w:szCs w:val="16"/>
      <w:lang w:eastAsia="ar-SA"/>
    </w:rPr>
  </w:style>
  <w:style w:type="character" w:styleId="Kommentarzeichen">
    <w:name w:val="annotation reference"/>
    <w:basedOn w:val="Absatz-Standardschriftart"/>
    <w:uiPriority w:val="99"/>
    <w:semiHidden/>
    <w:unhideWhenUsed/>
    <w:rsid w:val="009A6FD3"/>
    <w:rPr>
      <w:sz w:val="16"/>
      <w:szCs w:val="16"/>
    </w:rPr>
  </w:style>
  <w:style w:type="paragraph" w:styleId="Kommentartext">
    <w:name w:val="annotation text"/>
    <w:basedOn w:val="Standard"/>
    <w:link w:val="KommentartextZchn"/>
    <w:uiPriority w:val="99"/>
    <w:unhideWhenUsed/>
    <w:rsid w:val="009A6FD3"/>
    <w:pPr>
      <w:spacing w:line="240" w:lineRule="auto"/>
    </w:pPr>
    <w:rPr>
      <w:sz w:val="20"/>
      <w:szCs w:val="20"/>
    </w:rPr>
  </w:style>
  <w:style w:type="character" w:customStyle="1" w:styleId="KommentartextZchn">
    <w:name w:val="Kommentartext Zchn"/>
    <w:basedOn w:val="Absatz-Standardschriftart"/>
    <w:link w:val="Kommentartext"/>
    <w:uiPriority w:val="99"/>
    <w:rsid w:val="009A6FD3"/>
    <w:rPr>
      <w:rFonts w:ascii="Arial" w:hAnsi="Arial" w:cs="Times New Roman"/>
      <w:kern w:val="24"/>
      <w:sz w:val="20"/>
      <w:szCs w:val="20"/>
      <w:lang w:eastAsia="ar-SA"/>
    </w:rPr>
  </w:style>
  <w:style w:type="paragraph" w:styleId="Kommentarthema">
    <w:name w:val="annotation subject"/>
    <w:basedOn w:val="Kommentartext"/>
    <w:next w:val="Kommentartext"/>
    <w:link w:val="KommentarthemaZchn"/>
    <w:uiPriority w:val="99"/>
    <w:semiHidden/>
    <w:unhideWhenUsed/>
    <w:rsid w:val="009A6FD3"/>
    <w:rPr>
      <w:b/>
      <w:bCs/>
    </w:rPr>
  </w:style>
  <w:style w:type="character" w:customStyle="1" w:styleId="KommentarthemaZchn">
    <w:name w:val="Kommentarthema Zchn"/>
    <w:basedOn w:val="KommentartextZchn"/>
    <w:link w:val="Kommentarthema"/>
    <w:uiPriority w:val="99"/>
    <w:semiHidden/>
    <w:rsid w:val="009A6FD3"/>
    <w:rPr>
      <w:rFonts w:ascii="Arial" w:hAnsi="Arial" w:cs="Times New Roman"/>
      <w:b/>
      <w:bCs/>
      <w:kern w:val="24"/>
      <w:sz w:val="20"/>
      <w:szCs w:val="20"/>
      <w:lang w:eastAsia="ar-SA"/>
    </w:rPr>
  </w:style>
  <w:style w:type="character" w:customStyle="1" w:styleId="berschrift1Zchn">
    <w:name w:val="Überschrift 1 Zchn"/>
    <w:basedOn w:val="Absatz-Standardschriftart"/>
    <w:link w:val="berschrift1"/>
    <w:uiPriority w:val="9"/>
    <w:rsid w:val="00367F0C"/>
    <w:rPr>
      <w:rFonts w:ascii="Arial" w:hAnsi="Arial" w:cs="Times New Roman"/>
      <w:b/>
      <w:bCs/>
      <w:noProof/>
      <w:kern w:val="24"/>
      <w:sz w:val="36"/>
      <w:szCs w:val="36"/>
      <w:lang w:eastAsia="de-DE"/>
    </w:rPr>
  </w:style>
  <w:style w:type="paragraph" w:styleId="Kopfzeile">
    <w:name w:val="header"/>
    <w:basedOn w:val="Standard"/>
    <w:link w:val="KopfzeileZchn"/>
    <w:uiPriority w:val="99"/>
    <w:unhideWhenUsed/>
    <w:rsid w:val="00680509"/>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680509"/>
    <w:rPr>
      <w:rFonts w:ascii="Arial" w:hAnsi="Arial" w:cs="Times New Roman"/>
      <w:kern w:val="24"/>
      <w:szCs w:val="24"/>
      <w:lang w:eastAsia="ar-SA"/>
    </w:rPr>
  </w:style>
  <w:style w:type="paragraph" w:styleId="Fuzeile">
    <w:name w:val="footer"/>
    <w:basedOn w:val="Standard"/>
    <w:link w:val="FuzeileZchn"/>
    <w:uiPriority w:val="99"/>
    <w:unhideWhenUsed/>
    <w:rsid w:val="00680509"/>
    <w:pPr>
      <w:tabs>
        <w:tab w:val="center" w:pos="4536"/>
        <w:tab w:val="right" w:pos="9072"/>
      </w:tabs>
      <w:spacing w:line="240" w:lineRule="auto"/>
    </w:pPr>
  </w:style>
  <w:style w:type="character" w:customStyle="1" w:styleId="FuzeileZchn">
    <w:name w:val="Fußzeile Zchn"/>
    <w:basedOn w:val="Absatz-Standardschriftart"/>
    <w:link w:val="Fuzeile"/>
    <w:uiPriority w:val="99"/>
    <w:rsid w:val="00680509"/>
    <w:rPr>
      <w:rFonts w:ascii="Arial" w:hAnsi="Arial" w:cs="Times New Roman"/>
      <w:kern w:val="24"/>
      <w:szCs w:val="24"/>
      <w:lang w:eastAsia="ar-SA"/>
    </w:rPr>
  </w:style>
  <w:style w:type="character" w:customStyle="1" w:styleId="NichtaufgelsteErwhnung1">
    <w:name w:val="Nicht aufgelöste Erwähnung1"/>
    <w:basedOn w:val="Absatz-Standardschriftart"/>
    <w:uiPriority w:val="99"/>
    <w:semiHidden/>
    <w:unhideWhenUsed/>
    <w:rsid w:val="00835D39"/>
    <w:rPr>
      <w:color w:val="605E5C"/>
      <w:shd w:val="clear" w:color="auto" w:fill="E1DFDD"/>
    </w:rPr>
  </w:style>
  <w:style w:type="paragraph" w:customStyle="1" w:styleId="paragraph">
    <w:name w:val="paragraph"/>
    <w:basedOn w:val="Standard"/>
    <w:rsid w:val="00DD6073"/>
    <w:pPr>
      <w:suppressAutoHyphens w:val="0"/>
      <w:spacing w:before="100" w:beforeAutospacing="1" w:after="100" w:afterAutospacing="1" w:line="240" w:lineRule="auto"/>
    </w:pPr>
    <w:rPr>
      <w:rFonts w:ascii="Times New Roman" w:hAnsi="Times New Roman"/>
      <w:kern w:val="0"/>
      <w:sz w:val="24"/>
      <w:lang w:eastAsia="zh-TW"/>
    </w:rPr>
  </w:style>
  <w:style w:type="character" w:customStyle="1" w:styleId="normaltextrun">
    <w:name w:val="normaltextrun"/>
    <w:basedOn w:val="Absatz-Standardschriftart"/>
    <w:rsid w:val="00DD6073"/>
  </w:style>
  <w:style w:type="character" w:customStyle="1" w:styleId="eop">
    <w:name w:val="eop"/>
    <w:basedOn w:val="Absatz-Standardschriftart"/>
    <w:rsid w:val="00DD6073"/>
  </w:style>
  <w:style w:type="paragraph" w:styleId="StandardWeb">
    <w:name w:val="Normal (Web)"/>
    <w:basedOn w:val="Standard"/>
    <w:uiPriority w:val="99"/>
    <w:semiHidden/>
    <w:unhideWhenUsed/>
    <w:rsid w:val="00D602EB"/>
    <w:pPr>
      <w:suppressAutoHyphens w:val="0"/>
      <w:spacing w:before="100" w:beforeAutospacing="1" w:after="100" w:afterAutospacing="1" w:line="240" w:lineRule="auto"/>
    </w:pPr>
    <w:rPr>
      <w:rFonts w:ascii="Times New Roman" w:hAnsi="Times New Roman"/>
      <w:kern w:val="0"/>
      <w:sz w:val="24"/>
      <w:lang w:eastAsia="de-DE"/>
    </w:rPr>
  </w:style>
  <w:style w:type="paragraph" w:styleId="Untertitel">
    <w:name w:val="Subtitle"/>
    <w:basedOn w:val="Standard"/>
    <w:next w:val="Standard"/>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paragraph" w:styleId="berarbeitung">
    <w:name w:val="Revision"/>
    <w:hidden/>
    <w:uiPriority w:val="99"/>
    <w:semiHidden/>
    <w:rsid w:val="00B30A97"/>
    <w:pPr>
      <w:spacing w:line="240" w:lineRule="auto"/>
    </w:pPr>
    <w:rPr>
      <w:rFonts w:cs="Times New Roman"/>
      <w:kern w:val="24"/>
      <w:szCs w:val="24"/>
      <w:lang w:eastAsia="ar-SA"/>
    </w:rPr>
  </w:style>
  <w:style w:type="character" w:customStyle="1" w:styleId="Erwhnung1">
    <w:name w:val="Erwähnung1"/>
    <w:basedOn w:val="Absatz-Standardschriftart"/>
    <w:uiPriority w:val="99"/>
    <w:unhideWhenUsed/>
    <w:rsid w:val="009C2FFF"/>
    <w:rPr>
      <w:color w:val="2B579A"/>
      <w:shd w:val="clear" w:color="auto" w:fill="E1DFDD"/>
    </w:rPr>
  </w:style>
  <w:style w:type="table" w:customStyle="1" w:styleId="TableNormal10">
    <w:name w:val="Table Normal1"/>
    <w:rsid w:val="00323AC8"/>
    <w:tblPr>
      <w:tblCellMar>
        <w:top w:w="0" w:type="dxa"/>
        <w:left w:w="0" w:type="dxa"/>
        <w:bottom w:w="0" w:type="dxa"/>
        <w:right w:w="0" w:type="dxa"/>
      </w:tblCellMar>
    </w:tblPr>
  </w:style>
  <w:style w:type="character" w:styleId="BesuchterLink">
    <w:name w:val="FollowedHyperlink"/>
    <w:basedOn w:val="Absatz-Standardschriftart"/>
    <w:uiPriority w:val="99"/>
    <w:semiHidden/>
    <w:unhideWhenUsed/>
    <w:rsid w:val="00667034"/>
    <w:rPr>
      <w:color w:val="800080" w:themeColor="followedHyperlink"/>
      <w:u w:val="single"/>
    </w:rPr>
  </w:style>
  <w:style w:type="table" w:customStyle="1" w:styleId="a">
    <w:basedOn w:val="NormalTable0"/>
    <w:tblPr>
      <w:tblStyleRowBandSize w:val="1"/>
      <w:tblStyleColBandSize w:val="1"/>
      <w:tblCellMar>
        <w:left w:w="115" w:type="dxa"/>
        <w:right w:w="115" w:type="dxa"/>
      </w:tblCellMar>
    </w:tblPr>
  </w:style>
  <w:style w:type="table" w:customStyle="1" w:styleId="a0">
    <w:basedOn w:val="NormalTable0"/>
    <w:tblPr>
      <w:tblStyleRowBandSize w:val="1"/>
      <w:tblStyleColBandSize w:val="1"/>
      <w:tblCellMar>
        <w:left w:w="115" w:type="dxa"/>
        <w:right w:w="115" w:type="dxa"/>
      </w:tblCellMar>
    </w:tblPr>
  </w:style>
  <w:style w:type="table" w:customStyle="1" w:styleId="a1">
    <w:basedOn w:val="NormalTable0"/>
    <w:tblPr>
      <w:tblStyleRowBandSize w:val="1"/>
      <w:tblStyleColBandSize w:val="1"/>
      <w:tblCellMar>
        <w:left w:w="115" w:type="dxa"/>
        <w:right w:w="115" w:type="dxa"/>
      </w:tblCellMar>
    </w:tblPr>
  </w:style>
  <w:style w:type="table" w:customStyle="1" w:styleId="a2">
    <w:basedOn w:val="TableNormal4"/>
    <w:tblPr>
      <w:tblStyleRowBandSize w:val="1"/>
      <w:tblStyleColBandSize w:val="1"/>
      <w:tblCellMar>
        <w:left w:w="115" w:type="dxa"/>
        <w:right w:w="115" w:type="dxa"/>
      </w:tblCellMar>
    </w:tblPr>
  </w:style>
  <w:style w:type="table" w:customStyle="1" w:styleId="a3">
    <w:basedOn w:val="TableNormal4"/>
    <w:tblPr>
      <w:tblStyleRowBandSize w:val="1"/>
      <w:tblStyleColBandSize w:val="1"/>
      <w:tblCellMar>
        <w:left w:w="115" w:type="dxa"/>
        <w:right w:w="115" w:type="dxa"/>
      </w:tblCellMar>
    </w:tblPr>
  </w:style>
  <w:style w:type="character" w:customStyle="1" w:styleId="cf01">
    <w:name w:val="cf01"/>
    <w:basedOn w:val="Absatz-Standardschriftart"/>
    <w:rsid w:val="00E90C2C"/>
    <w:rPr>
      <w:rFonts w:ascii="Segoe UI" w:hAnsi="Segoe UI" w:cs="Segoe UI" w:hint="default"/>
      <w:sz w:val="18"/>
      <w:szCs w:val="18"/>
    </w:rPr>
  </w:style>
  <w:style w:type="paragraph" w:customStyle="1" w:styleId="pf0">
    <w:name w:val="pf0"/>
    <w:basedOn w:val="Standard"/>
    <w:rsid w:val="002A77C0"/>
    <w:pPr>
      <w:suppressAutoHyphens w:val="0"/>
      <w:spacing w:before="100" w:beforeAutospacing="1" w:after="100" w:afterAutospacing="1" w:line="240" w:lineRule="auto"/>
    </w:pPr>
    <w:rPr>
      <w:rFonts w:ascii="Times New Roman" w:eastAsia="Times New Roman" w:hAnsi="Times New Roman"/>
      <w:kern w:val="0"/>
      <w:sz w:val="24"/>
      <w:lang w:eastAsia="zh-TW"/>
    </w:rPr>
  </w:style>
  <w:style w:type="table" w:customStyle="1" w:styleId="a4">
    <w:basedOn w:val="TableNormal4"/>
    <w:tblPr>
      <w:tblStyleRowBandSize w:val="1"/>
      <w:tblStyleColBandSize w:val="1"/>
      <w:tblCellMar>
        <w:left w:w="115" w:type="dxa"/>
        <w:right w:w="115" w:type="dxa"/>
      </w:tblCellMar>
    </w:tblPr>
  </w:style>
  <w:style w:type="table" w:customStyle="1" w:styleId="a5">
    <w:basedOn w:val="TableNormal4"/>
    <w:tblPr>
      <w:tblStyleRowBandSize w:val="1"/>
      <w:tblStyleColBandSize w:val="1"/>
      <w:tblCellMar>
        <w:left w:w="115" w:type="dxa"/>
        <w:right w:w="115" w:type="dxa"/>
      </w:tblCellMar>
    </w:tblPr>
  </w:style>
  <w:style w:type="table" w:customStyle="1" w:styleId="a6">
    <w:basedOn w:val="TableNormal4"/>
    <w:tblPr>
      <w:tblStyleRowBandSize w:val="1"/>
      <w:tblStyleColBandSize w:val="1"/>
      <w:tblCellMar>
        <w:left w:w="115" w:type="dxa"/>
        <w:right w:w="115" w:type="dxa"/>
      </w:tblCellMar>
    </w:tblPr>
  </w:style>
  <w:style w:type="table" w:customStyle="1" w:styleId="a7">
    <w:basedOn w:val="TableNormal4"/>
    <w:tblPr>
      <w:tblStyleRowBandSize w:val="1"/>
      <w:tblStyleColBandSize w:val="1"/>
      <w:tblCellMar>
        <w:left w:w="115" w:type="dxa"/>
        <w:right w:w="115" w:type="dxa"/>
      </w:tblCellMar>
    </w:tblPr>
  </w:style>
  <w:style w:type="character" w:styleId="NichtaufgelsteErwhnung">
    <w:name w:val="Unresolved Mention"/>
    <w:basedOn w:val="Absatz-Standardschriftart"/>
    <w:uiPriority w:val="99"/>
    <w:semiHidden/>
    <w:unhideWhenUsed/>
    <w:rsid w:val="006E4BEE"/>
    <w:rPr>
      <w:color w:val="605E5C"/>
      <w:shd w:val="clear" w:color="auto" w:fill="E1DFDD"/>
    </w:rPr>
  </w:style>
  <w:style w:type="table" w:customStyle="1" w:styleId="a8">
    <w:basedOn w:val="TableNormal2"/>
    <w:pPr>
      <w:spacing w:line="240" w:lineRule="auto"/>
    </w:pPr>
    <w:tblPr>
      <w:tblStyleRowBandSize w:val="1"/>
      <w:tblStyleColBandSize w:val="1"/>
      <w:tblCellMar>
        <w:left w:w="108" w:type="dxa"/>
        <w:right w:w="108" w:type="dxa"/>
      </w:tblCellMar>
    </w:tblPr>
  </w:style>
  <w:style w:type="table" w:customStyle="1" w:styleId="a9">
    <w:basedOn w:val="TableNormal2"/>
    <w:tblPr>
      <w:tblStyleRowBandSize w:val="1"/>
      <w:tblStyleColBandSize w:val="1"/>
      <w:tblCellMar>
        <w:left w:w="115" w:type="dxa"/>
        <w:right w:w="115" w:type="dxa"/>
      </w:tblCellMar>
    </w:tblPr>
  </w:style>
  <w:style w:type="table" w:customStyle="1" w:styleId="aa">
    <w:basedOn w:val="TableNormal2"/>
    <w:tblPr>
      <w:tblStyleRowBandSize w:val="1"/>
      <w:tblStyleColBandSize w:val="1"/>
      <w:tblCellMar>
        <w:left w:w="115" w:type="dxa"/>
        <w:right w:w="115" w:type="dxa"/>
      </w:tblCellMar>
    </w:tblPr>
  </w:style>
  <w:style w:type="character" w:styleId="Fett">
    <w:name w:val="Strong"/>
    <w:basedOn w:val="Absatz-Standardschriftart"/>
    <w:uiPriority w:val="22"/>
    <w:qFormat/>
    <w:rsid w:val="00EF3419"/>
    <w:rPr>
      <w:b/>
      <w:bCs/>
    </w:rPr>
  </w:style>
  <w:style w:type="table" w:customStyle="1" w:styleId="ab">
    <w:basedOn w:val="TableNormal1"/>
    <w:pPr>
      <w:spacing w:line="240" w:lineRule="auto"/>
    </w:pPr>
    <w:tblPr>
      <w:tblStyleRowBandSize w:val="1"/>
      <w:tblStyleColBandSize w:val="1"/>
      <w:tblCellMar>
        <w:left w:w="115" w:type="dxa"/>
        <w:right w:w="115" w:type="dxa"/>
      </w:tblCellMar>
    </w:tblPr>
  </w:style>
  <w:style w:type="table" w:customStyle="1" w:styleId="ac">
    <w:basedOn w:val="TableNormal1"/>
    <w:pPr>
      <w:spacing w:line="240" w:lineRule="auto"/>
    </w:pPr>
    <w:tblPr>
      <w:tblStyleRowBandSize w:val="1"/>
      <w:tblStyleColBandSize w:val="1"/>
      <w:tblCellMar>
        <w:left w:w="115" w:type="dxa"/>
        <w:right w:w="115" w:type="dxa"/>
      </w:tblCellMar>
    </w:tblPr>
  </w:style>
  <w:style w:type="table" w:customStyle="1" w:styleId="ad">
    <w:basedOn w:val="TableNormal1"/>
    <w:pPr>
      <w:spacing w:line="240" w:lineRule="auto"/>
    </w:pPr>
    <w:tblPr>
      <w:tblStyleRowBandSize w:val="1"/>
      <w:tblStyleColBandSize w:val="1"/>
      <w:tblCellMar>
        <w:left w:w="115" w:type="dxa"/>
        <w:right w:w="115" w:type="dxa"/>
      </w:tblCellMar>
    </w:tblPr>
  </w:style>
  <w:style w:type="table" w:customStyle="1" w:styleId="ae">
    <w:basedOn w:val="TableNormal1"/>
    <w:pPr>
      <w:spacing w:line="240" w:lineRule="auto"/>
    </w:pPr>
    <w:tblPr>
      <w:tblStyleRowBandSize w:val="1"/>
      <w:tblStyleColBandSize w:val="1"/>
      <w:tblCellMar>
        <w:left w:w="115" w:type="dxa"/>
        <w:right w:w="115" w:type="dxa"/>
      </w:tblCellMar>
    </w:tblPr>
  </w:style>
  <w:style w:type="table" w:customStyle="1" w:styleId="af">
    <w:basedOn w:val="TableNormal1"/>
    <w:pPr>
      <w:spacing w:line="240" w:lineRule="auto"/>
    </w:pPr>
    <w:tblPr>
      <w:tblStyleRowBandSize w:val="1"/>
      <w:tblStyleColBandSize w:val="1"/>
      <w:tblCellMar>
        <w:left w:w="115" w:type="dxa"/>
        <w:right w:w="115" w:type="dxa"/>
      </w:tblCellMar>
    </w:tblPr>
  </w:style>
  <w:style w:type="table" w:customStyle="1" w:styleId="af0">
    <w:basedOn w:val="TableNormal1"/>
    <w:pPr>
      <w:spacing w:line="240" w:lineRule="auto"/>
    </w:p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yperlink" Target="https://twitter.com/congatecAG"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g"/><Relationship Id="rId12" Type="http://schemas.openxmlformats.org/officeDocument/2006/relationships/hyperlink" Target="https://www.linkedin.com/company/congatec/"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julia.wolff@publitek.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congatec.com/de/" TargetMode="External"/><Relationship Id="rId5" Type="http://schemas.openxmlformats.org/officeDocument/2006/relationships/footnotes" Target="footnotes.xml"/><Relationship Id="rId15" Type="http://schemas.openxmlformats.org/officeDocument/2006/relationships/hyperlink" Target="http://www.congatec.com" TargetMode="External"/><Relationship Id="rId10" Type="http://schemas.openxmlformats.org/officeDocument/2006/relationships/hyperlink" Target="https://www.congatec.com/de/technologien/com-express/"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www.congatec.com/de/produkte/com-express-type-6/conga-tcr8/" TargetMode="External"/><Relationship Id="rId14" Type="http://schemas.openxmlformats.org/officeDocument/2006/relationships/hyperlink" Target="https://www.youtube.com/congatecAE" TargetMode="External"/><Relationship Id="rId22"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1+OIawYDEfcHFnuEe1jO3bsLuQ==">CgMxLjA4AHIhMVJoLWozM1dreENxTEdLZk5wN1pGTmpJOXg5aHg4d3Q1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899</Words>
  <Characters>5667</Characters>
  <Application>Microsoft Office Word</Application>
  <DocSecurity>0</DocSecurity>
  <Lines>47</Lines>
  <Paragraphs>13</Paragraphs>
  <ScaleCrop>false</ScaleCrop>
  <Company>Archetype</Company>
  <LinksUpToDate>false</LinksUpToDate>
  <CharactersWithSpaces>6553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Christof Wilde</dc:creator>
  <cp:lastModifiedBy>Maria Scharnberg (DE)</cp:lastModifiedBy>
  <cp:revision>2</cp:revision>
  <dcterms:created xsi:type="dcterms:W3CDTF">2024-09-05T08:35:00Z</dcterms:created>
  <dcterms:modified xsi:type="dcterms:W3CDTF">2024-09-17T07:29:00Z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lpwstr>-1107777781</vt:lpwstr>
  </property>
  <property fmtid="{D5CDD505-2E9C-101B-9397-08002B2CF9AE}" pid="3" name="ContentTypeId">
    <vt:lpwstr>0x01010066056622069FCE4A9821F8733E2BC6E1</vt:lpwstr>
  </property>
  <property fmtid="{D5CDD505-2E9C-101B-9397-08002B2CF9AE}" pid="4" name="MediaServiceImageTags">
    <vt:lpwstr>MediaServiceImageTags</vt:lpwstr>
  </property>
  <property fmtid="{D5CDD505-2E9C-101B-9397-08002B2CF9AE}" pid="5" name="GrammarlyDocumentId">
    <vt:lpwstr>de07f0743253d7fe3f83e5346b3d409b265d515cecf14fc850006b3e3b518634</vt:lpwstr>
  </property>
  <property fmtid="{D5CDD505-2E9C-101B-9397-08002B2CF9AE}" pid="6" name="xd_ProgID">
    <vt:lpwstr>xd_ProgID</vt:lpwstr>
  </property>
  <property fmtid="{D5CDD505-2E9C-101B-9397-08002B2CF9AE}" pid="7" name="ComplianceAssetId">
    <vt:lpwstr>ComplianceAssetId</vt:lpwstr>
  </property>
  <property fmtid="{D5CDD505-2E9C-101B-9397-08002B2CF9AE}" pid="8" name="TemplateUrl">
    <vt:lpwstr>TemplateUrl</vt:lpwstr>
  </property>
  <property fmtid="{D5CDD505-2E9C-101B-9397-08002B2CF9AE}" pid="9" name="_ExtendedDescription">
    <vt:lpwstr>_ExtendedDescription</vt:lpwstr>
  </property>
  <property fmtid="{D5CDD505-2E9C-101B-9397-08002B2CF9AE}" pid="10" name="TriggerFlowInfo">
    <vt:lpwstr>TriggerFlowInfo</vt:lpwstr>
  </property>
  <property fmtid="{D5CDD505-2E9C-101B-9397-08002B2CF9AE}" pid="11" name="xd_Signature">
    <vt:lpwstr>false</vt:lpwstr>
  </property>
</Properties>
</file>