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B29F7" w14:textId="77777777" w:rsidR="00F77C70" w:rsidRDefault="00000000">
      <w:pPr>
        <w:pStyle w:val="Heading1"/>
      </w:pPr>
      <w:r>
        <w:t xml:space="preserve">Comunicato stampa </w:t>
      </w:r>
      <w:r>
        <w:drawing>
          <wp:anchor distT="0" distB="0" distL="114300" distR="114300" simplePos="0" relativeHeight="251658240" behindDoc="0" locked="0" layoutInCell="1" hidden="0" allowOverlap="1" wp14:anchorId="0C21FBD2" wp14:editId="0EC66D21">
            <wp:simplePos x="0" y="0"/>
            <wp:positionH relativeFrom="column">
              <wp:posOffset>4349839</wp:posOffset>
            </wp:positionH>
            <wp:positionV relativeFrom="paragraph">
              <wp:posOffset>-345912</wp:posOffset>
            </wp:positionV>
            <wp:extent cx="1150531" cy="903767"/>
            <wp:effectExtent l="0" t="0" r="0" b="0"/>
            <wp:wrapNone/>
            <wp:docPr id="3"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7"/>
                    <a:srcRect/>
                    <a:stretch>
                      <a:fillRect/>
                    </a:stretch>
                  </pic:blipFill>
                  <pic:spPr>
                    <a:xfrm>
                      <a:off x="0" y="0"/>
                      <a:ext cx="1150531" cy="903767"/>
                    </a:xfrm>
                    <a:prstGeom prst="rect">
                      <a:avLst/>
                    </a:prstGeom>
                    <a:ln/>
                  </pic:spPr>
                </pic:pic>
              </a:graphicData>
            </a:graphic>
          </wp:anchor>
        </w:drawing>
      </w:r>
    </w:p>
    <w:p w14:paraId="5815C7AA" w14:textId="77777777" w:rsidR="00F77C70" w:rsidRDefault="00F77C70"/>
    <w:p w14:paraId="5699A3EA" w14:textId="77777777" w:rsidR="00F77C70" w:rsidRDefault="00F77C70"/>
    <w:p w14:paraId="41E5213C" w14:textId="77777777" w:rsidR="007C7D64" w:rsidRDefault="007C7D64" w:rsidP="007C7D64">
      <w:proofErr w:type="spellStart"/>
      <w:r>
        <w:t>congatec</w:t>
      </w:r>
      <w:proofErr w:type="spellEnd"/>
      <w:r>
        <w:t xml:space="preserve"> amplia il proprio ecosistema per server </w:t>
      </w:r>
      <w:proofErr w:type="spellStart"/>
      <w:r>
        <w:t>edge</w:t>
      </w:r>
      <w:proofErr w:type="spellEnd"/>
      <w:r>
        <w:t xml:space="preserve"> modulari con una scheda carrier in formato </w:t>
      </w:r>
      <w:r>
        <w:rPr>
          <w:rFonts w:eastAsia="Arial"/>
        </w:rPr>
        <w:t>µ</w:t>
      </w:r>
      <w:r>
        <w:t>ATX e nuovi server-on-</w:t>
      </w:r>
      <w:proofErr w:type="spellStart"/>
      <w:r>
        <w:t>module</w:t>
      </w:r>
      <w:proofErr w:type="spellEnd"/>
      <w:r>
        <w:t xml:space="preserve"> COM-HPC basati sui processori Intel Xeon di ultima generazione</w:t>
      </w:r>
    </w:p>
    <w:p w14:paraId="2537663E" w14:textId="77777777" w:rsidR="00F77C70" w:rsidRDefault="00F77C70"/>
    <w:p w14:paraId="5C9079F9" w14:textId="77777777" w:rsidR="007C7D64" w:rsidRDefault="007C7D64" w:rsidP="007C7D64">
      <w:r>
        <w:rPr>
          <w:b/>
          <w:sz w:val="28"/>
          <w:szCs w:val="28"/>
        </w:rPr>
        <w:t xml:space="preserve">La nuova scheda carrier </w:t>
      </w:r>
      <w:r>
        <w:rPr>
          <w:rFonts w:eastAsia="Arial"/>
          <w:b/>
          <w:sz w:val="28"/>
          <w:szCs w:val="28"/>
        </w:rPr>
        <w:t>µ</w:t>
      </w:r>
      <w:r>
        <w:rPr>
          <w:b/>
          <w:sz w:val="28"/>
          <w:szCs w:val="28"/>
        </w:rPr>
        <w:t xml:space="preserve">ATX per server assicura la scalabilità per tutta la gamma di processori Intel </w:t>
      </w:r>
      <w:proofErr w:type="spellStart"/>
      <w:r>
        <w:rPr>
          <w:b/>
          <w:sz w:val="28"/>
          <w:szCs w:val="28"/>
        </w:rPr>
        <w:t>Ice</w:t>
      </w:r>
      <w:proofErr w:type="spellEnd"/>
      <w:r>
        <w:rPr>
          <w:b/>
          <w:sz w:val="28"/>
          <w:szCs w:val="28"/>
        </w:rPr>
        <w:t xml:space="preserve"> Lake D e supporta future evoluzioni</w:t>
      </w:r>
    </w:p>
    <w:p w14:paraId="70CA13CE" w14:textId="77777777" w:rsidR="00F77C70" w:rsidRDefault="00F77C70"/>
    <w:p w14:paraId="1366B302" w14:textId="6663625B" w:rsidR="00F77C70" w:rsidRDefault="00643731">
      <w:pPr>
        <w:rPr>
          <w:b/>
        </w:rPr>
      </w:pPr>
      <w:r>
        <w:rPr>
          <w:b/>
          <w:noProof/>
        </w:rPr>
        <w:drawing>
          <wp:inline distT="0" distB="0" distL="0" distR="0" wp14:anchorId="0DC13B17" wp14:editId="35511530">
            <wp:extent cx="5579745" cy="3719830"/>
            <wp:effectExtent l="0" t="0" r="1905" b="0"/>
            <wp:docPr id="1251928482" name="Picture 1" descr="A close-up of a computer c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928482" name="Picture 1" descr="A close-up of a computer chip&#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79745" cy="3719830"/>
                    </a:xfrm>
                    <a:prstGeom prst="rect">
                      <a:avLst/>
                    </a:prstGeom>
                  </pic:spPr>
                </pic:pic>
              </a:graphicData>
            </a:graphic>
          </wp:inline>
        </w:drawing>
      </w:r>
    </w:p>
    <w:p w14:paraId="226D93FE" w14:textId="77777777" w:rsidR="007C7D64" w:rsidRDefault="00000000" w:rsidP="007C7D64">
      <w:r>
        <w:rPr>
          <w:b/>
        </w:rPr>
        <w:t>Deggendorf, Germania, 2 Marzo 2022 * * *</w:t>
      </w:r>
      <w:r>
        <w:t xml:space="preserve"> </w:t>
      </w:r>
      <w:proofErr w:type="spellStart"/>
      <w:r w:rsidR="007C7D64" w:rsidRPr="007C7D64">
        <w:rPr>
          <w:color w:val="000000"/>
        </w:rPr>
        <w:t>congatec</w:t>
      </w:r>
      <w:proofErr w:type="spellEnd"/>
      <w:r w:rsidR="007C7D64" w:rsidRPr="007C7D64">
        <w:rPr>
          <w:color w:val="000000"/>
        </w:rPr>
        <w:t xml:space="preserve"> </w:t>
      </w:r>
      <w:r w:rsidR="007C7D64">
        <w:rPr>
          <w:color w:val="000000"/>
        </w:rPr>
        <w:t>–</w:t>
      </w:r>
      <w:r w:rsidR="007C7D64" w:rsidRPr="007C7D64">
        <w:rPr>
          <w:color w:val="000000"/>
        </w:rPr>
        <w:t xml:space="preserve"> </w:t>
      </w:r>
      <w:r w:rsidR="007C7D64">
        <w:rPr>
          <w:color w:val="000000"/>
        </w:rPr>
        <w:t xml:space="preserve">azienda leader nel settore della tecnologia di elaborazione per applicazioni embedded ed </w:t>
      </w:r>
      <w:proofErr w:type="spellStart"/>
      <w:r w:rsidR="007C7D64">
        <w:rPr>
          <w:color w:val="000000"/>
        </w:rPr>
        <w:t>edge</w:t>
      </w:r>
      <w:proofErr w:type="spellEnd"/>
      <w:r w:rsidR="007C7D64">
        <w:rPr>
          <w:color w:val="000000"/>
        </w:rPr>
        <w:t xml:space="preserve"> </w:t>
      </w:r>
      <w:r w:rsidR="007C7D64">
        <w:rPr>
          <w:rFonts w:ascii="Comic Sans MS" w:hAnsi="Comic Sans MS" w:cs="Comic Sans MS"/>
          <w:color w:val="000000"/>
          <w:sz w:val="24"/>
          <w:szCs w:val="24"/>
        </w:rPr>
        <w:t>- h</w:t>
      </w:r>
      <w:r w:rsidR="007C7D64" w:rsidRPr="007C7D64">
        <w:rPr>
          <w:color w:val="000000"/>
        </w:rPr>
        <w:t xml:space="preserve">a annunciato un importante ampliamento del proprio ecosistema per i server </w:t>
      </w:r>
      <w:proofErr w:type="spellStart"/>
      <w:r w:rsidR="007C7D64" w:rsidRPr="007C7D64">
        <w:rPr>
          <w:color w:val="000000"/>
        </w:rPr>
        <w:t>edge</w:t>
      </w:r>
      <w:proofErr w:type="spellEnd"/>
      <w:r w:rsidR="007C7D64" w:rsidRPr="007C7D64">
        <w:rPr>
          <w:color w:val="000000"/>
        </w:rPr>
        <w:t xml:space="preserve"> modulari. I nuovi prodotti disponibili sono una scheda carrier per server in formato </w:t>
      </w:r>
      <w:r w:rsidR="007C7D64" w:rsidRPr="007C7D64">
        <w:rPr>
          <w:rFonts w:eastAsia="Arial"/>
          <w:color w:val="000000"/>
        </w:rPr>
        <w:t>µATX e Server-on-</w:t>
      </w:r>
      <w:proofErr w:type="spellStart"/>
      <w:r w:rsidR="007C7D64" w:rsidRPr="007C7D64">
        <w:rPr>
          <w:rFonts w:eastAsia="Arial"/>
          <w:color w:val="000000"/>
        </w:rPr>
        <w:t>module</w:t>
      </w:r>
      <w:proofErr w:type="spellEnd"/>
      <w:r w:rsidR="007C7D64" w:rsidRPr="007C7D64">
        <w:rPr>
          <w:rFonts w:eastAsia="Arial"/>
          <w:color w:val="000000"/>
        </w:rPr>
        <w:t xml:space="preserve"> COM-HPC basati su processori Intel Xeon D di ultima generazione (</w:t>
      </w:r>
      <w:proofErr w:type="spellStart"/>
      <w:r w:rsidR="007C7D64" w:rsidRPr="007C7D64">
        <w:rPr>
          <w:rFonts w:eastAsia="Arial"/>
          <w:color w:val="000000"/>
        </w:rPr>
        <w:t>Ice</w:t>
      </w:r>
      <w:proofErr w:type="spellEnd"/>
      <w:r w:rsidR="007C7D64" w:rsidRPr="007C7D64">
        <w:rPr>
          <w:rFonts w:eastAsia="Arial"/>
          <w:color w:val="000000"/>
        </w:rPr>
        <w:t xml:space="preserve"> Lake). La nuova scheda server µATX per moduli COM-HPC è stata sviluppata per server compatti che devono garantire prestazioni real-time utilizzati in applicazioni alla periferia della rete (</w:t>
      </w:r>
      <w:proofErr w:type="spellStart"/>
      <w:r w:rsidR="007C7D64" w:rsidRPr="007C7D64">
        <w:rPr>
          <w:rFonts w:eastAsia="Arial"/>
          <w:color w:val="000000"/>
        </w:rPr>
        <w:t>edge</w:t>
      </w:r>
      <w:proofErr w:type="spellEnd"/>
      <w:r w:rsidR="007C7D64" w:rsidRPr="007C7D64">
        <w:rPr>
          <w:rFonts w:eastAsia="Arial"/>
          <w:color w:val="000000"/>
        </w:rPr>
        <w:t xml:space="preserve">) e in infrastrutture critiche. La scheda può essere utilizzata con la massima flessibilità con i più recenti moduli COM-HPC Server di </w:t>
      </w:r>
      <w:proofErr w:type="spellStart"/>
      <w:r w:rsidR="007C7D64" w:rsidRPr="007C7D64">
        <w:rPr>
          <w:rFonts w:eastAsia="Arial"/>
          <w:color w:val="000000"/>
        </w:rPr>
        <w:t>congatec</w:t>
      </w:r>
      <w:proofErr w:type="spellEnd"/>
      <w:r w:rsidR="007C7D64" w:rsidRPr="007C7D64">
        <w:rPr>
          <w:rFonts w:eastAsia="Arial"/>
          <w:color w:val="000000"/>
        </w:rPr>
        <w:t xml:space="preserve">. Unitamente ai moduli aggiornati, che sono equipaggiati con i più recenti processori Intel Xeon D-1800/D-2800, </w:t>
      </w:r>
      <w:r w:rsidR="007C7D64" w:rsidRPr="007C7D64">
        <w:rPr>
          <w:rFonts w:eastAsia="Arial"/>
          <w:color w:val="000000"/>
        </w:rPr>
        <w:lastRenderedPageBreak/>
        <w:t>agli utenti viene fornita una piattaforma µATX “pronta all'uso” da utilizzare in applicazioni che richiedono elevate prestazioni in un package compatto e robusto.</w:t>
      </w:r>
    </w:p>
    <w:p w14:paraId="60D34C77" w14:textId="77777777" w:rsidR="007C7D64" w:rsidRDefault="007C7D64" w:rsidP="007C7D64"/>
    <w:p w14:paraId="38EC22D9" w14:textId="77777777" w:rsidR="007C7D64" w:rsidRDefault="007C7D64" w:rsidP="007C7D64">
      <w:pPr>
        <w:rPr>
          <w:rFonts w:eastAsia="Arial"/>
        </w:rPr>
      </w:pPr>
      <w:bookmarkStart w:id="0" w:name="_heading=h.3znysh7"/>
      <w:bookmarkEnd w:id="0"/>
      <w:r w:rsidRPr="007C7D64">
        <w:t xml:space="preserve">Con l'introduzione della nuova scheda carrier µATX per Server-on-Module COM-HPC, </w:t>
      </w:r>
      <w:proofErr w:type="spellStart"/>
      <w:r w:rsidRPr="007C7D64">
        <w:t>congatec</w:t>
      </w:r>
      <w:proofErr w:type="spellEnd"/>
      <w:r w:rsidRPr="007C7D64">
        <w:t xml:space="preserve"> sottolinea il proprio ruolo di fornitore di soluzioni di elaborazione avanzate che possono essere utilizzate immediatamente in applicazioni industriali particolarmente </w:t>
      </w:r>
      <w:proofErr w:type="spellStart"/>
      <w:r w:rsidRPr="007C7D64">
        <w:t>complessse</w:t>
      </w:r>
      <w:proofErr w:type="spellEnd"/>
      <w:r w:rsidRPr="007C7D64">
        <w:t xml:space="preserve">. L'ecosistema di moduli COM-HPC e schede carrier </w:t>
      </w:r>
      <w:r w:rsidRPr="007C7D64">
        <w:rPr>
          <w:rFonts w:eastAsia="Arial"/>
        </w:rPr>
        <w:t>µATX mette a disposizione degli OEM un'ampia gamma di opzioni di personalizzazione a livello di modulo, scheda e sistema, tra le quali gli sviluppatori possono scegliere liberamente in base alle loro necessità. L'intero ecosistema è stato adattato per garantire la conformità agli stringenti requisiti tipici delle applicazioni di elaborazione alla periferia della rete (</w:t>
      </w:r>
      <w:proofErr w:type="spellStart"/>
      <w:r w:rsidRPr="007C7D64">
        <w:rPr>
          <w:rFonts w:eastAsia="Arial"/>
        </w:rPr>
        <w:t>edge</w:t>
      </w:r>
      <w:proofErr w:type="spellEnd"/>
      <w:r w:rsidRPr="007C7D64">
        <w:rPr>
          <w:rFonts w:eastAsia="Arial"/>
        </w:rPr>
        <w:t xml:space="preserve"> computing) e offre blocchi base ad alte prestazioni, affidabili e pronti all'uso adatti per gli ambienti industriali. Questo approccio di tipo modulare permette non solo di ridurre il time-to-market dei nuovi progetti, ma assicura anche il supporto per le future evoluzioni</w:t>
      </w:r>
    </w:p>
    <w:p w14:paraId="017053F3" w14:textId="77777777" w:rsidR="007C7D64" w:rsidRDefault="007C7D64" w:rsidP="007C7D64">
      <w:pPr>
        <w:rPr>
          <w:color w:val="000000"/>
        </w:rPr>
      </w:pPr>
      <w:bookmarkStart w:id="1" w:name="_heading=h.2et92p0"/>
      <w:bookmarkEnd w:id="1"/>
    </w:p>
    <w:p w14:paraId="3F37006C" w14:textId="1D73E04B" w:rsidR="007C7D64" w:rsidRPr="007C7D64" w:rsidRDefault="007C7D64" w:rsidP="007C7D64">
      <w:pPr>
        <w:rPr>
          <w:color w:val="000000"/>
        </w:rPr>
      </w:pPr>
      <w:r w:rsidRPr="007C7D64">
        <w:rPr>
          <w:color w:val="000000"/>
        </w:rPr>
        <w:t>La nuova scheda carrier conga-HPC/</w:t>
      </w:r>
      <w:proofErr w:type="spellStart"/>
      <w:r w:rsidRPr="007C7D64">
        <w:rPr>
          <w:color w:val="000000"/>
        </w:rPr>
        <w:t>uATX</w:t>
      </w:r>
      <w:proofErr w:type="spellEnd"/>
      <w:r w:rsidRPr="007C7D64">
        <w:rPr>
          <w:color w:val="000000"/>
        </w:rPr>
        <w:t xml:space="preserve"> server integra un gran numero di I/O e di opzioni di espansione in un fattore di forma standard compatto e rappresenta la soluzione ideale per numerose applicazioni. Tra le principali si possono annoverare il consolidamento dei server per le macchine virtuali (VM – Virtual Machine) o dei server </w:t>
      </w:r>
      <w:proofErr w:type="spellStart"/>
      <w:r w:rsidRPr="007C7D64">
        <w:rPr>
          <w:color w:val="000000"/>
        </w:rPr>
        <w:t>edge</w:t>
      </w:r>
      <w:proofErr w:type="spellEnd"/>
      <w:r w:rsidRPr="007C7D64">
        <w:rPr>
          <w:color w:val="000000"/>
        </w:rPr>
        <w:t xml:space="preserve"> per le </w:t>
      </w:r>
      <w:proofErr w:type="spellStart"/>
      <w:r w:rsidRPr="007C7D64">
        <w:rPr>
          <w:color w:val="000000"/>
        </w:rPr>
        <w:t>microgrid</w:t>
      </w:r>
      <w:proofErr w:type="spellEnd"/>
      <w:r w:rsidRPr="007C7D64">
        <w:rPr>
          <w:color w:val="000000"/>
        </w:rPr>
        <w:t xml:space="preserve"> (reti energetiche locali), l'elaborazione video, il riconoscimento facciale, le infrastrutture delle città “intelligenti” e molte altre ancora. </w:t>
      </w:r>
      <w:r w:rsidRPr="007C7D64">
        <w:t>conga-HPC/</w:t>
      </w:r>
      <w:proofErr w:type="spellStart"/>
      <w:r w:rsidRPr="007C7D64">
        <w:t>uATX</w:t>
      </w:r>
      <w:proofErr w:type="spellEnd"/>
      <w:r w:rsidRPr="007C7D64">
        <w:t xml:space="preserve"> server prevede numerose caratteristiche adatte a supportare applicazioni di questo tipo, tra cui svariate opzioni di comunicazione (con ampiezza di banda fino a 100 </w:t>
      </w:r>
      <w:proofErr w:type="spellStart"/>
      <w:r w:rsidRPr="007C7D64">
        <w:t>GbE</w:t>
      </w:r>
      <w:proofErr w:type="spellEnd"/>
      <w:r w:rsidRPr="007C7D64">
        <w:t xml:space="preserve">), espansioni </w:t>
      </w:r>
      <w:proofErr w:type="spellStart"/>
      <w:r w:rsidRPr="007C7D64">
        <w:t>PCIe</w:t>
      </w:r>
      <w:proofErr w:type="spellEnd"/>
      <w:r w:rsidRPr="007C7D64">
        <w:t xml:space="preserve"> x8 e x16 per l'elaborazione di carichi di lavoro onerosi basati sull'intelligenza artificiale (AI) mediante GPGPU o altri acceleratori di elaborazione, 2 slot M.2 Key M per SSD </w:t>
      </w:r>
      <w:proofErr w:type="spellStart"/>
      <w:r w:rsidRPr="007C7D64">
        <w:t>NVMe</w:t>
      </w:r>
      <w:proofErr w:type="spellEnd"/>
      <w:r w:rsidRPr="007C7D64">
        <w:t xml:space="preserve"> e uno slot M.2 Key B per acceleratori AI compatti o moduli di comunicazione per Wi-Fi o LTE/5G.</w:t>
      </w:r>
    </w:p>
    <w:p w14:paraId="3C180C98" w14:textId="77777777" w:rsidR="007C7D64" w:rsidRPr="007C7D64" w:rsidRDefault="007C7D64" w:rsidP="007C7D64">
      <w:pPr>
        <w:rPr>
          <w:color w:val="000000"/>
        </w:rPr>
      </w:pPr>
    </w:p>
    <w:p w14:paraId="01A80980" w14:textId="77777777" w:rsidR="007C7D64" w:rsidRDefault="007C7D64" w:rsidP="007C7D64">
      <w:bookmarkStart w:id="2" w:name="_heading=h.tyjcwt"/>
      <w:bookmarkEnd w:id="2"/>
      <w:r w:rsidRPr="007C7D64">
        <w:t>I nuovi Server-on-Module conga-HPC/</w:t>
      </w:r>
      <w:proofErr w:type="spellStart"/>
      <w:r w:rsidRPr="007C7D64">
        <w:t>sILL</w:t>
      </w:r>
      <w:proofErr w:type="spellEnd"/>
      <w:r w:rsidRPr="007C7D64">
        <w:t xml:space="preserve"> e conga-HPC/</w:t>
      </w:r>
      <w:proofErr w:type="spellStart"/>
      <w:r w:rsidRPr="007C7D64">
        <w:t>sILH</w:t>
      </w:r>
      <w:proofErr w:type="spellEnd"/>
      <w:r w:rsidRPr="007C7D64">
        <w:t xml:space="preserve"> sono equipaggiati con i più recenti processori della serie </w:t>
      </w:r>
      <w:proofErr w:type="spellStart"/>
      <w:r w:rsidRPr="007C7D64">
        <w:rPr>
          <w:color w:val="000000"/>
        </w:rPr>
        <w:t>Ice</w:t>
      </w:r>
      <w:proofErr w:type="spellEnd"/>
      <w:r w:rsidRPr="007C7D64">
        <w:rPr>
          <w:color w:val="000000"/>
        </w:rPr>
        <w:t xml:space="preserve"> Lake </w:t>
      </w:r>
      <w:r w:rsidRPr="007C7D64">
        <w:t>D-1800 LCC e</w:t>
      </w:r>
      <w:r w:rsidRPr="007C7D64">
        <w:rPr>
          <w:color w:val="000000"/>
        </w:rPr>
        <w:t xml:space="preserve"> D-2800 HCC di Intel, che garantiscono un aumento delle prestazioni del 15% rispetto ai precedenti processori D-1700/D-2700 serie 8. Grazie al miglior rapporto tra prestazioni e consumi (performance/W), questi moduli COM-HPC sono ideali per l'uso in quelle applicazioni ad alte prestazioni che in precedenza erano precluse a causa dei vincoli termici. Essi possono anche sfruttare la tecnologia Intel Speed Select, che semplifica il bilanciamento </w:t>
      </w:r>
      <w:r w:rsidRPr="007C7D64">
        <w:rPr>
          <w:color w:val="000000"/>
        </w:rPr>
        <w:lastRenderedPageBreak/>
        <w:t xml:space="preserve">tra le prestazioni di elaborazione e il TDP del sistema. I processori di più recente introduzione dispongono di un massimo di 22 core operanti a una velocità di clock più elevata per supportare le applicazioni </w:t>
      </w:r>
      <w:proofErr w:type="spellStart"/>
      <w:r w:rsidRPr="007C7D64">
        <w:rPr>
          <w:color w:val="000000"/>
        </w:rPr>
        <w:t>edge</w:t>
      </w:r>
      <w:proofErr w:type="spellEnd"/>
      <w:r w:rsidRPr="007C7D64">
        <w:rPr>
          <w:color w:val="000000"/>
        </w:rPr>
        <w:t xml:space="preserve"> della prossima generazione con un miglior rapporto tra prestazioni e consumi: in questo modo è possibile sviluppare progetti più efficienti in termini energetici e quindi più affidabili. La scalabilità delle prestazioni nelle applicazioni </w:t>
      </w:r>
      <w:proofErr w:type="spellStart"/>
      <w:r w:rsidRPr="007C7D64">
        <w:rPr>
          <w:color w:val="000000"/>
        </w:rPr>
        <w:t>edge</w:t>
      </w:r>
      <w:proofErr w:type="spellEnd"/>
      <w:r w:rsidRPr="007C7D64">
        <w:rPr>
          <w:color w:val="000000"/>
        </w:rPr>
        <w:t xml:space="preserve"> e l'approccio modulare consentono di aumentare la flessibilità di supportare le future evoluzioni dei progetti, contribuendo a ridurre sia il costo totale di possesso (TCO) sia il time to market.</w:t>
      </w:r>
    </w:p>
    <w:p w14:paraId="268124A8" w14:textId="77777777" w:rsidR="007C7D64" w:rsidRDefault="007C7D64" w:rsidP="007C7D64"/>
    <w:p w14:paraId="4367FA81" w14:textId="77777777" w:rsidR="007C7D64" w:rsidRPr="007C7D64" w:rsidRDefault="007C7D64" w:rsidP="007C7D64">
      <w:pPr>
        <w:rPr>
          <w:color w:val="000000"/>
        </w:rPr>
      </w:pPr>
      <w:bookmarkStart w:id="3" w:name="_heading=h.3dy6vkm"/>
      <w:bookmarkEnd w:id="3"/>
      <w:r w:rsidRPr="007C7D64">
        <w:rPr>
          <w:color w:val="000000"/>
        </w:rPr>
        <w:t>I nuovi moduli COM-HPC server prevedono l'</w:t>
      </w:r>
      <w:proofErr w:type="spellStart"/>
      <w:r w:rsidRPr="007C7D64">
        <w:rPr>
          <w:color w:val="000000"/>
        </w:rPr>
        <w:t>hypervisor</w:t>
      </w:r>
      <w:proofErr w:type="spellEnd"/>
      <w:r w:rsidRPr="007C7D64">
        <w:rPr>
          <w:color w:val="000000"/>
        </w:rPr>
        <w:t xml:space="preserve"> integrato nel firmware, semplificando notevolmente la valutazione del consolidamento dei server con macchine virtuali. Completo il corredo di funzionalità in tempo reale, grazie al supporto di TCC, TCN e </w:t>
      </w:r>
      <w:proofErr w:type="spellStart"/>
      <w:r w:rsidRPr="007C7D64">
        <w:rPr>
          <w:color w:val="000000"/>
        </w:rPr>
        <w:t>SyncE</w:t>
      </w:r>
      <w:proofErr w:type="spellEnd"/>
      <w:r w:rsidRPr="007C7D64">
        <w:rPr>
          <w:color w:val="000000"/>
        </w:rPr>
        <w:t xml:space="preserve"> (opzionale). Ciò è particolarmente utile per tutte le applicazioni 5G connesse che richiedono latenze molto ridotte e una sincronizzazione estremamente accurata della frequenza e del clock.</w:t>
      </w:r>
    </w:p>
    <w:p w14:paraId="0701F20F" w14:textId="77777777" w:rsidR="007C7D64" w:rsidRPr="007C7D64" w:rsidRDefault="007C7D64" w:rsidP="007C7D64">
      <w:pPr>
        <w:rPr>
          <w:color w:val="000000"/>
        </w:rPr>
      </w:pPr>
    </w:p>
    <w:p w14:paraId="70AFD44E" w14:textId="122480F5" w:rsidR="007C7D64" w:rsidRPr="007C7D64" w:rsidRDefault="007C7D64" w:rsidP="007C7D64">
      <w:pPr>
        <w:rPr>
          <w:color w:val="000000"/>
        </w:rPr>
      </w:pPr>
      <w:bookmarkStart w:id="4" w:name="_heading=h.tc09uxxvadju"/>
      <w:bookmarkEnd w:id="4"/>
      <w:r w:rsidRPr="007C7D64">
        <w:rPr>
          <w:color w:val="000000"/>
        </w:rPr>
        <w:t xml:space="preserve">Per la nuova soluzione </w:t>
      </w:r>
      <w:r w:rsidRPr="007C7D64">
        <w:rPr>
          <w:rFonts w:eastAsia="Arial"/>
          <w:color w:val="000000"/>
        </w:rPr>
        <w:t xml:space="preserve">µATX basata su Server-on-Module </w:t>
      </w:r>
      <w:r w:rsidRPr="007C7D64">
        <w:rPr>
          <w:color w:val="000000"/>
        </w:rPr>
        <w:t xml:space="preserve">COM-HPC </w:t>
      </w:r>
      <w:proofErr w:type="spellStart"/>
      <w:r w:rsidRPr="007C7D64">
        <w:rPr>
          <w:color w:val="000000"/>
        </w:rPr>
        <w:t>congatec</w:t>
      </w:r>
      <w:proofErr w:type="spellEnd"/>
      <w:r w:rsidRPr="007C7D64">
        <w:rPr>
          <w:color w:val="000000"/>
        </w:rPr>
        <w:t xml:space="preserve"> propone diverse soluzioni di raffreddamento complete, incluso il raffreddamento passivo per</w:t>
      </w:r>
      <w:r>
        <w:rPr>
          <w:color w:val="000000"/>
        </w:rPr>
        <w:t xml:space="preserve"> </w:t>
      </w:r>
      <w:r w:rsidRPr="007C7D64">
        <w:rPr>
          <w:color w:val="000000"/>
        </w:rPr>
        <w:t>chassis di piccole dimensioni. Oltre alla personalizzazione della scheda carrier conga-HPC/</w:t>
      </w:r>
      <w:r w:rsidRPr="007C7D64">
        <w:rPr>
          <w:rFonts w:eastAsia="Arial"/>
          <w:color w:val="000000"/>
        </w:rPr>
        <w:t>µATX server, i servizi di supporto comprendono anche implementazioni dell'</w:t>
      </w:r>
      <w:proofErr w:type="spellStart"/>
      <w:r w:rsidRPr="007C7D64">
        <w:rPr>
          <w:rFonts w:eastAsia="Arial"/>
          <w:color w:val="000000"/>
        </w:rPr>
        <w:t>hypervisor</w:t>
      </w:r>
      <w:proofErr w:type="spellEnd"/>
      <w:r w:rsidRPr="007C7D64">
        <w:rPr>
          <w:rFonts w:eastAsia="Arial"/>
          <w:color w:val="000000"/>
        </w:rPr>
        <w:t xml:space="preserve"> real-time e del BIOS/UEFI su specifica del cliente, oltre all'espansione con ulteriori funzionalità </w:t>
      </w:r>
      <w:proofErr w:type="spellStart"/>
      <w:r w:rsidRPr="007C7D64">
        <w:rPr>
          <w:rFonts w:eastAsia="Arial"/>
          <w:color w:val="000000"/>
        </w:rPr>
        <w:t>IIoT</w:t>
      </w:r>
      <w:proofErr w:type="spellEnd"/>
      <w:r w:rsidRPr="007C7D64">
        <w:rPr>
          <w:rFonts w:eastAsia="Arial"/>
          <w:color w:val="000000"/>
        </w:rPr>
        <w:t xml:space="preserve"> da </w:t>
      </w:r>
      <w:proofErr w:type="spellStart"/>
      <w:r w:rsidRPr="007C7D64">
        <w:rPr>
          <w:rFonts w:eastAsia="Arial"/>
          <w:color w:val="000000"/>
        </w:rPr>
        <w:t>utlizzare</w:t>
      </w:r>
      <w:proofErr w:type="spellEnd"/>
      <w:r w:rsidRPr="007C7D64">
        <w:rPr>
          <w:rFonts w:eastAsia="Arial"/>
          <w:color w:val="000000"/>
        </w:rPr>
        <w:t xml:space="preserve"> per la trasformazione digitale.</w:t>
      </w:r>
    </w:p>
    <w:p w14:paraId="2470B0A5" w14:textId="77777777" w:rsidR="007C7D64" w:rsidRPr="007C7D64" w:rsidRDefault="007C7D64" w:rsidP="007C7D64">
      <w:pPr>
        <w:rPr>
          <w:color w:val="000000"/>
        </w:rPr>
      </w:pPr>
    </w:p>
    <w:p w14:paraId="12356A9C" w14:textId="77777777" w:rsidR="007C7D64" w:rsidRPr="007C7D64" w:rsidRDefault="007C7D64" w:rsidP="007C7D64">
      <w:r w:rsidRPr="007C7D64">
        <w:rPr>
          <w:color w:val="000000"/>
        </w:rPr>
        <w:t xml:space="preserve">Ulteriori informazioni sulla scheda carrier </w:t>
      </w:r>
      <w:r w:rsidRPr="007C7D64">
        <w:t>conga-HPC/</w:t>
      </w:r>
      <w:proofErr w:type="spellStart"/>
      <w:r w:rsidRPr="007C7D64">
        <w:t>uATX</w:t>
      </w:r>
      <w:proofErr w:type="spellEnd"/>
      <w:r w:rsidRPr="007C7D64">
        <w:t xml:space="preserve"> server sono disponibili </w:t>
      </w:r>
      <w:hyperlink r:id="rId9" w:history="1">
        <w:r w:rsidRPr="007C7D64">
          <w:rPr>
            <w:rStyle w:val="Hyperlink"/>
          </w:rPr>
          <w:t>qui</w:t>
        </w:r>
      </w:hyperlink>
      <w:r w:rsidRPr="007C7D64">
        <w:rPr>
          <w:rStyle w:val="Hyperlink"/>
        </w:rPr>
        <w:t>.</w:t>
      </w:r>
    </w:p>
    <w:p w14:paraId="26478CC9" w14:textId="504192BF" w:rsidR="007C7D64" w:rsidRPr="007C7D64" w:rsidRDefault="007C7D64" w:rsidP="007C7D64">
      <w:pPr>
        <w:rPr>
          <w:shd w:val="clear" w:color="auto" w:fill="FFFF00"/>
        </w:rPr>
      </w:pPr>
      <w:r w:rsidRPr="007C7D64">
        <w:t>Maggiori informazioni sui più recenti Server-on-</w:t>
      </w:r>
      <w:proofErr w:type="spellStart"/>
      <w:r w:rsidRPr="007C7D64">
        <w:t>Modules</w:t>
      </w:r>
      <w:proofErr w:type="spellEnd"/>
      <w:r w:rsidRPr="007C7D64">
        <w:t xml:space="preserve"> di </w:t>
      </w:r>
      <w:proofErr w:type="spellStart"/>
      <w:r w:rsidRPr="007C7D64">
        <w:t>congatec</w:t>
      </w:r>
      <w:proofErr w:type="spellEnd"/>
      <w:r w:rsidRPr="007C7D64">
        <w:t xml:space="preserve"> sono disponibili</w:t>
      </w:r>
      <w:r w:rsidRPr="007C7D64">
        <w:rPr>
          <w:color w:val="000000"/>
        </w:rPr>
        <w:t xml:space="preserve"> </w:t>
      </w:r>
      <w:hyperlink r:id="rId10" w:history="1">
        <w:r w:rsidRPr="007C7D64">
          <w:rPr>
            <w:rStyle w:val="Hyperlink"/>
          </w:rPr>
          <w:t>qui</w:t>
        </w:r>
      </w:hyperlink>
      <w:r w:rsidRPr="007C7D64">
        <w:rPr>
          <w:color w:val="000000"/>
        </w:rPr>
        <w:t>.</w:t>
      </w:r>
    </w:p>
    <w:p w14:paraId="21F0B1A5" w14:textId="77777777" w:rsidR="007C7D64" w:rsidRPr="007C7D64" w:rsidRDefault="007C7D64" w:rsidP="007C7D64">
      <w:pPr>
        <w:rPr>
          <w:shd w:val="clear" w:color="auto" w:fill="FFFF00"/>
        </w:rPr>
      </w:pPr>
    </w:p>
    <w:p w14:paraId="29DBCA61" w14:textId="77777777" w:rsidR="007C7D64" w:rsidRDefault="007C7D64" w:rsidP="007C7D64">
      <w:pPr>
        <w:rPr>
          <w:color w:val="000000"/>
        </w:rPr>
      </w:pPr>
      <w:r>
        <w:rPr>
          <w:color w:val="000000"/>
        </w:rPr>
        <w:t xml:space="preserve">Questa e numerose altre innovazioni saranno presentate alla prossima edizione di embedded world dal 9 all'11 aprile 2024. Maggiori informazioni sono disponibili all'indirizzo: </w:t>
      </w:r>
      <w:hyperlink r:id="rId11" w:history="1">
        <w:r>
          <w:rPr>
            <w:rStyle w:val="Hyperlink"/>
          </w:rPr>
          <w:t>https://www.congatec.com/de/congatec/events/congatec-at-embedded-world-2024/</w:t>
        </w:r>
      </w:hyperlink>
      <w:r>
        <w:rPr>
          <w:color w:val="000000"/>
        </w:rPr>
        <w:t xml:space="preserve"> </w:t>
      </w:r>
    </w:p>
    <w:p w14:paraId="6FEFB0FE" w14:textId="77777777" w:rsidR="007C7D64" w:rsidRDefault="007C7D64" w:rsidP="007C7D64">
      <w:pPr>
        <w:rPr>
          <w:color w:val="000000"/>
        </w:rPr>
      </w:pPr>
    </w:p>
    <w:p w14:paraId="59660498" w14:textId="77777777" w:rsidR="007C7D64" w:rsidRDefault="007C7D64" w:rsidP="007C7D64">
      <w:pPr>
        <w:rPr>
          <w:color w:val="000000"/>
          <w:sz w:val="16"/>
          <w:szCs w:val="16"/>
        </w:rPr>
      </w:pPr>
      <w:r>
        <w:rPr>
          <w:color w:val="000000"/>
        </w:rPr>
        <w:t xml:space="preserve">Venite a trovarci allo stand </w:t>
      </w:r>
      <w:proofErr w:type="spellStart"/>
      <w:r>
        <w:rPr>
          <w:color w:val="000000"/>
        </w:rPr>
        <w:t>congatec</w:t>
      </w:r>
      <w:proofErr w:type="spellEnd"/>
      <w:r>
        <w:rPr>
          <w:color w:val="000000"/>
        </w:rPr>
        <w:t xml:space="preserve"> (Pad. 3 stand 241)</w:t>
      </w:r>
    </w:p>
    <w:p w14:paraId="5CB3C02F" w14:textId="77777777" w:rsidR="00F77C70" w:rsidRDefault="00F77C70">
      <w:pPr>
        <w:pBdr>
          <w:top w:val="nil"/>
          <w:left w:val="nil"/>
          <w:bottom w:val="nil"/>
          <w:right w:val="nil"/>
          <w:between w:val="nil"/>
        </w:pBdr>
        <w:spacing w:line="240" w:lineRule="auto"/>
      </w:pPr>
    </w:p>
    <w:p w14:paraId="3052A6BC" w14:textId="77777777" w:rsidR="007C7D64" w:rsidRDefault="007C7D64">
      <w:pPr>
        <w:pBdr>
          <w:top w:val="nil"/>
          <w:left w:val="nil"/>
          <w:bottom w:val="nil"/>
          <w:right w:val="nil"/>
          <w:between w:val="nil"/>
        </w:pBdr>
        <w:spacing w:line="240" w:lineRule="auto"/>
        <w:rPr>
          <w:rFonts w:eastAsia="Arial"/>
          <w:color w:val="000000"/>
        </w:rPr>
      </w:pPr>
    </w:p>
    <w:p w14:paraId="76E0A369" w14:textId="77777777" w:rsidR="00F77C70" w:rsidRDefault="00000000">
      <w:pPr>
        <w:pBdr>
          <w:top w:val="nil"/>
          <w:left w:val="nil"/>
          <w:bottom w:val="nil"/>
          <w:right w:val="nil"/>
          <w:between w:val="nil"/>
        </w:pBdr>
        <w:jc w:val="center"/>
        <w:rPr>
          <w:rFonts w:eastAsia="Arial"/>
          <w:color w:val="000000"/>
          <w:sz w:val="16"/>
          <w:szCs w:val="16"/>
        </w:rPr>
      </w:pPr>
      <w:r>
        <w:rPr>
          <w:rFonts w:eastAsia="Arial"/>
          <w:color w:val="000000"/>
          <w:sz w:val="16"/>
          <w:szCs w:val="16"/>
        </w:rPr>
        <w:t>* * *</w:t>
      </w:r>
    </w:p>
    <w:p w14:paraId="36D2462F" w14:textId="77777777" w:rsidR="002E576E" w:rsidRDefault="002E576E">
      <w:pPr>
        <w:pBdr>
          <w:top w:val="nil"/>
          <w:left w:val="nil"/>
          <w:bottom w:val="nil"/>
          <w:right w:val="nil"/>
          <w:between w:val="nil"/>
        </w:pBdr>
        <w:jc w:val="center"/>
        <w:rPr>
          <w:rFonts w:eastAsia="Arial"/>
          <w:color w:val="000000"/>
          <w:sz w:val="16"/>
          <w:szCs w:val="16"/>
        </w:rPr>
      </w:pPr>
    </w:p>
    <w:p w14:paraId="6426196D" w14:textId="6D547934" w:rsidR="002E576E" w:rsidRDefault="002E576E" w:rsidP="002E576E">
      <w:pPr>
        <w:pBdr>
          <w:top w:val="nil"/>
          <w:left w:val="nil"/>
          <w:bottom w:val="nil"/>
          <w:right w:val="nil"/>
          <w:between w:val="nil"/>
        </w:pBdr>
        <w:rPr>
          <w:rFonts w:eastAsia="Arial"/>
          <w:color w:val="000000"/>
          <w:sz w:val="16"/>
          <w:szCs w:val="16"/>
        </w:rPr>
      </w:pPr>
      <w:r>
        <w:rPr>
          <w:color w:val="000000"/>
          <w:sz w:val="18"/>
          <w:szCs w:val="18"/>
        </w:rPr>
        <w:lastRenderedPageBreak/>
        <w:t xml:space="preserve">Vi invitiamo a prendere nota della conferenza stampa sulle ultime novità di </w:t>
      </w:r>
      <w:proofErr w:type="spellStart"/>
      <w:r>
        <w:rPr>
          <w:color w:val="000000"/>
          <w:sz w:val="18"/>
          <w:szCs w:val="18"/>
        </w:rPr>
        <w:t>congatec</w:t>
      </w:r>
      <w:proofErr w:type="spellEnd"/>
      <w:r>
        <w:rPr>
          <w:color w:val="000000"/>
          <w:sz w:val="18"/>
          <w:szCs w:val="18"/>
        </w:rPr>
        <w:t xml:space="preserve"> che si terrà il 9 aprile dalle 14:00 alle 14:30 presso l'NCC est. L'invito seguirà a breve. Se siete interessati a partecipare alla conferenza stampa e/o a un incontro individuale presso lo stand, contattateci direttamente.</w:t>
      </w:r>
    </w:p>
    <w:p w14:paraId="22E9F945" w14:textId="77777777" w:rsidR="00F77C70" w:rsidRDefault="00F77C70">
      <w:pPr>
        <w:pBdr>
          <w:top w:val="nil"/>
          <w:left w:val="nil"/>
          <w:bottom w:val="nil"/>
          <w:right w:val="nil"/>
          <w:between w:val="nil"/>
        </w:pBdr>
        <w:spacing w:line="240" w:lineRule="auto"/>
        <w:ind w:right="283"/>
        <w:rPr>
          <w:rFonts w:eastAsia="Arial"/>
          <w:b/>
          <w:color w:val="000000"/>
          <w:sz w:val="16"/>
          <w:szCs w:val="16"/>
        </w:rPr>
      </w:pPr>
    </w:p>
    <w:p w14:paraId="050D288B" w14:textId="77777777" w:rsidR="007C7D64" w:rsidRDefault="007C7D64">
      <w:pPr>
        <w:pBdr>
          <w:top w:val="nil"/>
          <w:left w:val="nil"/>
          <w:bottom w:val="nil"/>
          <w:right w:val="nil"/>
          <w:between w:val="nil"/>
        </w:pBdr>
        <w:spacing w:line="240" w:lineRule="auto"/>
        <w:ind w:right="283"/>
        <w:rPr>
          <w:rFonts w:eastAsia="Arial"/>
          <w:b/>
          <w:color w:val="000000"/>
          <w:sz w:val="16"/>
          <w:szCs w:val="16"/>
        </w:rPr>
      </w:pPr>
    </w:p>
    <w:p w14:paraId="050C84F1" w14:textId="77777777" w:rsidR="00F77C70" w:rsidRDefault="00000000">
      <w:pPr>
        <w:pBdr>
          <w:top w:val="nil"/>
          <w:left w:val="nil"/>
          <w:bottom w:val="nil"/>
          <w:right w:val="nil"/>
          <w:between w:val="nil"/>
        </w:pBdr>
        <w:spacing w:line="240" w:lineRule="auto"/>
        <w:rPr>
          <w:rFonts w:eastAsia="Arial"/>
          <w:b/>
          <w:color w:val="000000"/>
          <w:sz w:val="18"/>
          <w:szCs w:val="18"/>
        </w:rPr>
      </w:pPr>
      <w:r>
        <w:rPr>
          <w:rFonts w:eastAsia="Arial"/>
          <w:b/>
          <w:color w:val="000000"/>
          <w:sz w:val="18"/>
          <w:szCs w:val="18"/>
        </w:rPr>
        <w:t xml:space="preserve">Chi è </w:t>
      </w:r>
      <w:proofErr w:type="spellStart"/>
      <w:r>
        <w:rPr>
          <w:rFonts w:eastAsia="Arial"/>
          <w:b/>
          <w:color w:val="000000"/>
          <w:sz w:val="18"/>
          <w:szCs w:val="18"/>
        </w:rPr>
        <w:t>congatec</w:t>
      </w:r>
      <w:proofErr w:type="spellEnd"/>
      <w:r>
        <w:rPr>
          <w:rFonts w:eastAsia="Arial"/>
          <w:b/>
          <w:color w:val="000000"/>
          <w:sz w:val="18"/>
          <w:szCs w:val="18"/>
        </w:rPr>
        <w:t xml:space="preserve"> </w:t>
      </w:r>
    </w:p>
    <w:p w14:paraId="6A511823" w14:textId="2674FBCD" w:rsidR="00F77C70" w:rsidRDefault="00000000" w:rsidP="00EA49D8">
      <w:pPr>
        <w:pBdr>
          <w:top w:val="nil"/>
          <w:left w:val="nil"/>
          <w:bottom w:val="nil"/>
          <w:right w:val="nil"/>
          <w:between w:val="nil"/>
        </w:pBdr>
        <w:spacing w:line="240" w:lineRule="auto"/>
        <w:rPr>
          <w:sz w:val="16"/>
          <w:szCs w:val="16"/>
        </w:rPr>
      </w:pPr>
      <w:r>
        <w:rPr>
          <w:rFonts w:eastAsia="Arial"/>
          <w:color w:val="000000"/>
          <w:sz w:val="18"/>
          <w:szCs w:val="18"/>
        </w:rPr>
        <w:t xml:space="preserve">Fortemente orientata allo sviluppo tecnologico, </w:t>
      </w:r>
      <w:proofErr w:type="spellStart"/>
      <w:r>
        <w:rPr>
          <w:rFonts w:eastAsia="Arial"/>
          <w:color w:val="000000"/>
          <w:sz w:val="18"/>
          <w:szCs w:val="18"/>
        </w:rPr>
        <w:t>congatec</w:t>
      </w:r>
      <w:proofErr w:type="spellEnd"/>
      <w:r>
        <w:rPr>
          <w:rFonts w:eastAsia="Arial"/>
          <w:color w:val="000000"/>
          <w:sz w:val="18"/>
          <w:szCs w:val="18"/>
        </w:rPr>
        <w:t xml:space="preserve"> è un'azienda focalizzata sulla fornitura di servizi e prodotti per applicazioni embedded e di </w:t>
      </w:r>
      <w:proofErr w:type="spellStart"/>
      <w:r>
        <w:rPr>
          <w:rFonts w:eastAsia="Arial"/>
          <w:color w:val="000000"/>
          <w:sz w:val="18"/>
          <w:szCs w:val="18"/>
        </w:rPr>
        <w:t>edge</w:t>
      </w:r>
      <w:proofErr w:type="spellEnd"/>
      <w:r>
        <w:rPr>
          <w:rFonts w:eastAsia="Arial"/>
          <w:color w:val="000000"/>
          <w:sz w:val="18"/>
          <w:szCs w:val="18"/>
        </w:rPr>
        <w:t xml:space="preserve"> computing. I moduli di elaborazione a elevate prestazioni della società sono utilizzati in una vasta gamma di dispositivi e applicazioni destinati ai settori dell'automazione industriale, della tecnologia medicale, dei robotica e delle telecomunicazioni, oltre che in numerosi altri mercati verticali. Supportata da DBAG Fund VIII, fondo tedesco specializzato nel sostegno di imprese di medie dimensioni che operano in settori industriali ad alto tasso di crescita, che opera in qualità di azionista di riferimento, </w:t>
      </w:r>
      <w:proofErr w:type="spellStart"/>
      <w:r>
        <w:rPr>
          <w:rFonts w:eastAsia="Arial"/>
          <w:color w:val="000000"/>
          <w:sz w:val="18"/>
          <w:szCs w:val="18"/>
        </w:rPr>
        <w:t>congatec</w:t>
      </w:r>
      <w:proofErr w:type="spellEnd"/>
      <w:r>
        <w:rPr>
          <w:rFonts w:eastAsia="Arial"/>
          <w:color w:val="000000"/>
          <w:sz w:val="18"/>
          <w:szCs w:val="18"/>
        </w:rPr>
        <w:t xml:space="preserve"> ha la solidità finanziaria e l'esperienza nelle operazioni di M&amp;A necessarie per sfruttare al meglio le opportunità che si prospettano in questi mercati in rapida espansione.</w:t>
      </w:r>
      <w:r w:rsidR="00EA49D8">
        <w:rPr>
          <w:rFonts w:eastAsia="Arial"/>
          <w:color w:val="000000"/>
          <w:sz w:val="18"/>
          <w:szCs w:val="18"/>
        </w:rPr>
        <w:t xml:space="preserve"> </w:t>
      </w:r>
      <w:proofErr w:type="spellStart"/>
      <w:r>
        <w:rPr>
          <w:color w:val="000000"/>
          <w:sz w:val="18"/>
          <w:szCs w:val="18"/>
        </w:rPr>
        <w:t>congatec</w:t>
      </w:r>
      <w:proofErr w:type="spellEnd"/>
      <w:r>
        <w:rPr>
          <w:color w:val="000000"/>
          <w:sz w:val="18"/>
          <w:szCs w:val="18"/>
        </w:rPr>
        <w:t xml:space="preserve"> è l'azienda leader a livello globale nel comparto dei moduli COM (Computer-on-Module) è può vantare una base di clienti ampia e diversificata, che spazia dalle start-up alle più importanti realtà multinazionali. Ulteriori informazioni sono disponibili sul nostro sito web </w:t>
      </w:r>
      <w:hyperlink r:id="rId12">
        <w:r>
          <w:rPr>
            <w:color w:val="0000FF"/>
            <w:sz w:val="18"/>
            <w:szCs w:val="18"/>
            <w:u w:val="single"/>
          </w:rPr>
          <w:t>www.congatec.com</w:t>
        </w:r>
      </w:hyperlink>
      <w:r>
        <w:rPr>
          <w:color w:val="000000"/>
          <w:sz w:val="18"/>
          <w:szCs w:val="18"/>
        </w:rPr>
        <w:t xml:space="preserve"> oppure attraverso </w:t>
      </w:r>
      <w:hyperlink r:id="rId13">
        <w:r>
          <w:rPr>
            <w:color w:val="0000FF"/>
            <w:sz w:val="18"/>
            <w:szCs w:val="18"/>
            <w:u w:val="single"/>
          </w:rPr>
          <w:t>LinkedIn</w:t>
        </w:r>
      </w:hyperlink>
      <w:r>
        <w:rPr>
          <w:color w:val="000000"/>
          <w:sz w:val="18"/>
          <w:szCs w:val="18"/>
        </w:rPr>
        <w:t xml:space="preserve">, </w:t>
      </w:r>
      <w:hyperlink r:id="rId14" w:history="1">
        <w:r w:rsidRPr="00EA49D8">
          <w:rPr>
            <w:rStyle w:val="Hyperlink"/>
            <w:sz w:val="18"/>
            <w:szCs w:val="18"/>
          </w:rPr>
          <w:t>X</w:t>
        </w:r>
        <w:r w:rsidR="00EA49D8" w:rsidRPr="00EA49D8">
          <w:rPr>
            <w:rStyle w:val="Hyperlink"/>
            <w:sz w:val="18"/>
            <w:szCs w:val="18"/>
          </w:rPr>
          <w:t xml:space="preserve"> (Twitter)</w:t>
        </w:r>
      </w:hyperlink>
      <w:r>
        <w:rPr>
          <w:color w:val="000000"/>
          <w:sz w:val="18"/>
          <w:szCs w:val="18"/>
        </w:rPr>
        <w:t xml:space="preserve"> e </w:t>
      </w:r>
      <w:hyperlink r:id="rId15">
        <w:r>
          <w:rPr>
            <w:color w:val="0000FF"/>
            <w:sz w:val="18"/>
            <w:szCs w:val="18"/>
            <w:u w:val="single"/>
          </w:rPr>
          <w:t>YouTube</w:t>
        </w:r>
      </w:hyperlink>
      <w:r>
        <w:rPr>
          <w:color w:val="000000"/>
          <w:sz w:val="18"/>
          <w:szCs w:val="18"/>
        </w:rPr>
        <w:t>.</w:t>
      </w:r>
    </w:p>
    <w:p w14:paraId="4417DFEA" w14:textId="77777777" w:rsidR="00F77C70" w:rsidRDefault="00000000">
      <w:pPr>
        <w:pBdr>
          <w:top w:val="nil"/>
          <w:left w:val="nil"/>
          <w:bottom w:val="nil"/>
          <w:right w:val="nil"/>
          <w:between w:val="nil"/>
        </w:pBdr>
        <w:spacing w:line="240" w:lineRule="auto"/>
        <w:rPr>
          <w:rFonts w:eastAsia="Arial"/>
          <w:color w:val="000000"/>
          <w:sz w:val="16"/>
          <w:szCs w:val="16"/>
        </w:rPr>
      </w:pPr>
      <w:r>
        <w:rPr>
          <w:rFonts w:eastAsia="Arial"/>
          <w:color w:val="000000"/>
          <w:sz w:val="16"/>
          <w:szCs w:val="16"/>
        </w:rPr>
        <w:t xml:space="preserve">Testo e immagine sono disponibili all'indirizzo: </w:t>
      </w:r>
      <w:hyperlink r:id="rId16">
        <w:r>
          <w:rPr>
            <w:rFonts w:eastAsia="Arial"/>
            <w:color w:val="0000FF"/>
            <w:sz w:val="16"/>
            <w:szCs w:val="16"/>
            <w:u w:val="single"/>
          </w:rPr>
          <w:t>https://www.congatec.com/it/congatec/comunicato-stampa.html</w:t>
        </w:r>
      </w:hyperlink>
      <w:r>
        <w:rPr>
          <w:rFonts w:eastAsia="Arial"/>
          <w:color w:val="000000"/>
          <w:sz w:val="16"/>
          <w:szCs w:val="16"/>
        </w:rPr>
        <w:t xml:space="preserve"> </w:t>
      </w:r>
    </w:p>
    <w:p w14:paraId="62F5EEBF" w14:textId="77777777" w:rsidR="00F77C70" w:rsidRDefault="00F77C70"/>
    <w:p w14:paraId="0FD4EDF5" w14:textId="77777777" w:rsidR="00F77C70" w:rsidRDefault="00000000">
      <w:r>
        <w:rPr>
          <w:i/>
          <w:sz w:val="16"/>
          <w:szCs w:val="16"/>
        </w:rPr>
        <w:t>Intel, il logo Intel e altri marchi Intel sono marchi registrati di Intel Corporation o dele sue filiali.</w:t>
      </w:r>
    </w:p>
    <w:p w14:paraId="76B977F0" w14:textId="77777777" w:rsidR="00F77C70" w:rsidRDefault="00F77C70">
      <w:pPr>
        <w:pBdr>
          <w:top w:val="nil"/>
          <w:left w:val="nil"/>
          <w:bottom w:val="nil"/>
          <w:right w:val="nil"/>
          <w:between w:val="nil"/>
        </w:pBdr>
        <w:spacing w:line="240" w:lineRule="auto"/>
        <w:rPr>
          <w:rFonts w:eastAsia="Arial"/>
          <w:b/>
          <w:color w:val="000000"/>
        </w:rPr>
      </w:pPr>
    </w:p>
    <w:p w14:paraId="443B2B46" w14:textId="77777777" w:rsidR="00F77C70" w:rsidRDefault="00000000">
      <w:pPr>
        <w:pBdr>
          <w:top w:val="nil"/>
          <w:left w:val="nil"/>
          <w:bottom w:val="nil"/>
          <w:right w:val="nil"/>
          <w:between w:val="nil"/>
        </w:pBdr>
        <w:spacing w:line="240" w:lineRule="auto"/>
        <w:rPr>
          <w:rFonts w:eastAsia="Arial"/>
          <w:b/>
          <w:color w:val="000000"/>
        </w:rPr>
      </w:pPr>
      <w:r>
        <w:rPr>
          <w:rFonts w:eastAsia="Arial"/>
          <w:b/>
          <w:color w:val="000000"/>
        </w:rPr>
        <w:t>Domande dei lettori:</w:t>
      </w:r>
    </w:p>
    <w:p w14:paraId="2CF7E44A" w14:textId="77777777" w:rsidR="00F77C70" w:rsidRDefault="00000000">
      <w:pPr>
        <w:pBdr>
          <w:top w:val="nil"/>
          <w:left w:val="nil"/>
          <w:bottom w:val="nil"/>
          <w:right w:val="nil"/>
          <w:between w:val="nil"/>
        </w:pBdr>
        <w:spacing w:line="240" w:lineRule="auto"/>
        <w:rPr>
          <w:rFonts w:eastAsia="Arial"/>
          <w:color w:val="000000"/>
          <w:u w:val="single"/>
        </w:rPr>
      </w:pPr>
      <w:proofErr w:type="spellStart"/>
      <w:r>
        <w:rPr>
          <w:rFonts w:eastAsia="Arial"/>
          <w:color w:val="000000"/>
        </w:rPr>
        <w:t>congatec</w:t>
      </w:r>
      <w:proofErr w:type="spellEnd"/>
    </w:p>
    <w:p w14:paraId="3CFDA5C7" w14:textId="77777777" w:rsidR="00F77C70" w:rsidRDefault="00000000">
      <w:pPr>
        <w:pBdr>
          <w:top w:val="nil"/>
          <w:left w:val="nil"/>
          <w:bottom w:val="nil"/>
          <w:right w:val="nil"/>
          <w:between w:val="nil"/>
        </w:pBdr>
        <w:spacing w:line="240" w:lineRule="auto"/>
        <w:rPr>
          <w:rFonts w:eastAsia="Arial"/>
          <w:b/>
          <w:color w:val="000000"/>
          <w:u w:val="single"/>
        </w:rPr>
      </w:pPr>
      <w:proofErr w:type="spellStart"/>
      <w:r>
        <w:rPr>
          <w:rFonts w:eastAsia="Arial"/>
          <w:color w:val="000000"/>
        </w:rPr>
        <w:t>Telefon</w:t>
      </w:r>
      <w:proofErr w:type="spellEnd"/>
      <w:r>
        <w:rPr>
          <w:rFonts w:eastAsia="Arial"/>
          <w:color w:val="000000"/>
        </w:rPr>
        <w:t>: +49-991-2700-0</w:t>
      </w:r>
    </w:p>
    <w:p w14:paraId="69CD944A" w14:textId="77777777" w:rsidR="00F77C70" w:rsidRDefault="00000000">
      <w:pPr>
        <w:pBdr>
          <w:top w:val="nil"/>
          <w:left w:val="nil"/>
          <w:bottom w:val="nil"/>
          <w:right w:val="nil"/>
          <w:between w:val="nil"/>
        </w:pBdr>
        <w:spacing w:line="240" w:lineRule="auto"/>
        <w:rPr>
          <w:rFonts w:eastAsia="Arial"/>
          <w:color w:val="0000FF"/>
          <w:u w:val="single"/>
        </w:rPr>
      </w:pPr>
      <w:r>
        <w:rPr>
          <w:rFonts w:eastAsia="Arial"/>
          <w:color w:val="0000FF"/>
          <w:u w:val="single"/>
        </w:rPr>
        <w:t xml:space="preserve">info@congatec.com </w:t>
      </w:r>
    </w:p>
    <w:p w14:paraId="0EBEC24A" w14:textId="77777777" w:rsidR="00F77C70" w:rsidRDefault="00000000">
      <w:pPr>
        <w:pBdr>
          <w:top w:val="nil"/>
          <w:left w:val="nil"/>
          <w:bottom w:val="nil"/>
          <w:right w:val="nil"/>
          <w:between w:val="nil"/>
        </w:pBdr>
        <w:spacing w:line="240" w:lineRule="auto"/>
        <w:rPr>
          <w:rFonts w:eastAsia="Arial"/>
          <w:color w:val="0000FF"/>
          <w:u w:val="single"/>
        </w:rPr>
      </w:pPr>
      <w:hyperlink r:id="rId17">
        <w:r>
          <w:rPr>
            <w:rFonts w:eastAsia="Arial"/>
            <w:color w:val="0000FF"/>
            <w:u w:val="single"/>
          </w:rPr>
          <w:t>www.congatec.com</w:t>
        </w:r>
      </w:hyperlink>
    </w:p>
    <w:p w14:paraId="47303779" w14:textId="77777777" w:rsidR="00F77C70" w:rsidRDefault="00F77C70">
      <w:pPr>
        <w:pBdr>
          <w:top w:val="nil"/>
          <w:left w:val="nil"/>
          <w:bottom w:val="nil"/>
          <w:right w:val="nil"/>
          <w:between w:val="nil"/>
        </w:pBdr>
        <w:spacing w:line="240" w:lineRule="auto"/>
        <w:rPr>
          <w:rFonts w:eastAsia="Arial"/>
          <w:b/>
          <w:color w:val="000000"/>
        </w:rPr>
      </w:pPr>
    </w:p>
    <w:p w14:paraId="1FCCE557" w14:textId="77777777" w:rsidR="00F77C70" w:rsidRDefault="00000000">
      <w:pPr>
        <w:pBdr>
          <w:top w:val="nil"/>
          <w:left w:val="nil"/>
          <w:bottom w:val="nil"/>
          <w:right w:val="nil"/>
          <w:between w:val="nil"/>
        </w:pBdr>
        <w:spacing w:line="240" w:lineRule="auto"/>
        <w:rPr>
          <w:rFonts w:eastAsia="Arial"/>
          <w:b/>
          <w:color w:val="000000"/>
        </w:rPr>
      </w:pPr>
      <w:r>
        <w:rPr>
          <w:rFonts w:eastAsia="Arial"/>
          <w:b/>
          <w:color w:val="000000"/>
        </w:rPr>
        <w:t xml:space="preserve">Contatto Stampa </w:t>
      </w:r>
      <w:proofErr w:type="spellStart"/>
      <w:r>
        <w:rPr>
          <w:rFonts w:eastAsia="Arial"/>
          <w:b/>
          <w:color w:val="000000"/>
        </w:rPr>
        <w:t>congatec</w:t>
      </w:r>
      <w:proofErr w:type="spellEnd"/>
      <w:r>
        <w:rPr>
          <w:rFonts w:eastAsia="Arial"/>
          <w:b/>
          <w:color w:val="000000"/>
        </w:rPr>
        <w:t>:</w:t>
      </w:r>
    </w:p>
    <w:p w14:paraId="1286FFEB" w14:textId="77777777" w:rsidR="00F77C70" w:rsidRDefault="00000000">
      <w:pPr>
        <w:pBdr>
          <w:top w:val="nil"/>
          <w:left w:val="nil"/>
          <w:bottom w:val="nil"/>
          <w:right w:val="nil"/>
          <w:between w:val="nil"/>
        </w:pBdr>
        <w:spacing w:line="240" w:lineRule="auto"/>
        <w:rPr>
          <w:rFonts w:eastAsia="Arial"/>
          <w:color w:val="000000"/>
          <w:u w:val="single"/>
        </w:rPr>
      </w:pPr>
      <w:proofErr w:type="spellStart"/>
      <w:r>
        <w:rPr>
          <w:rFonts w:eastAsia="Arial"/>
          <w:color w:val="000000"/>
        </w:rPr>
        <w:t>congatec</w:t>
      </w:r>
      <w:proofErr w:type="spellEnd"/>
    </w:p>
    <w:p w14:paraId="60148E85" w14:textId="77777777" w:rsidR="00F77C70" w:rsidRDefault="00000000">
      <w:pPr>
        <w:pBdr>
          <w:top w:val="nil"/>
          <w:left w:val="nil"/>
          <w:bottom w:val="nil"/>
          <w:right w:val="nil"/>
          <w:between w:val="nil"/>
        </w:pBdr>
        <w:spacing w:line="240" w:lineRule="auto"/>
        <w:rPr>
          <w:rFonts w:eastAsia="Arial"/>
          <w:b/>
          <w:color w:val="000000"/>
          <w:u w:val="single"/>
        </w:rPr>
      </w:pPr>
      <w:r>
        <w:rPr>
          <w:rFonts w:eastAsia="Arial"/>
          <w:color w:val="000000"/>
        </w:rPr>
        <w:t>Christof Wilde</w:t>
      </w:r>
    </w:p>
    <w:p w14:paraId="0FAC6E58" w14:textId="77777777" w:rsidR="00F77C70" w:rsidRDefault="00000000">
      <w:pPr>
        <w:pBdr>
          <w:top w:val="nil"/>
          <w:left w:val="nil"/>
          <w:bottom w:val="nil"/>
          <w:right w:val="nil"/>
          <w:between w:val="nil"/>
        </w:pBdr>
        <w:spacing w:line="240" w:lineRule="auto"/>
        <w:rPr>
          <w:rFonts w:eastAsia="Arial"/>
          <w:b/>
          <w:color w:val="000000"/>
          <w:u w:val="single"/>
        </w:rPr>
      </w:pPr>
      <w:proofErr w:type="spellStart"/>
      <w:r>
        <w:rPr>
          <w:rFonts w:eastAsia="Arial"/>
          <w:color w:val="000000"/>
        </w:rPr>
        <w:t>Telefon</w:t>
      </w:r>
      <w:proofErr w:type="spellEnd"/>
      <w:r>
        <w:rPr>
          <w:rFonts w:eastAsia="Arial"/>
          <w:color w:val="000000"/>
        </w:rPr>
        <w:t>: +49-991-2700-2822</w:t>
      </w:r>
    </w:p>
    <w:p w14:paraId="6511DA44" w14:textId="77777777" w:rsidR="00F77C70" w:rsidRDefault="00000000">
      <w:pPr>
        <w:pBdr>
          <w:top w:val="nil"/>
          <w:left w:val="nil"/>
          <w:bottom w:val="nil"/>
          <w:right w:val="nil"/>
          <w:between w:val="nil"/>
        </w:pBdr>
        <w:spacing w:line="240" w:lineRule="auto"/>
        <w:rPr>
          <w:rFonts w:eastAsia="Arial"/>
          <w:color w:val="0000FF"/>
          <w:u w:val="single"/>
        </w:rPr>
      </w:pPr>
      <w:r>
        <w:rPr>
          <w:rFonts w:eastAsia="Arial"/>
          <w:color w:val="0000FF"/>
          <w:u w:val="single"/>
        </w:rPr>
        <w:t xml:space="preserve">christof.wilde@congatec.com </w:t>
      </w:r>
    </w:p>
    <w:p w14:paraId="78EF5AA9" w14:textId="77777777" w:rsidR="00F77C70" w:rsidRDefault="00F77C70">
      <w:pPr>
        <w:pBdr>
          <w:top w:val="nil"/>
          <w:left w:val="nil"/>
          <w:bottom w:val="nil"/>
          <w:right w:val="nil"/>
          <w:between w:val="nil"/>
        </w:pBdr>
        <w:spacing w:line="240" w:lineRule="auto"/>
        <w:rPr>
          <w:rFonts w:eastAsia="Arial"/>
          <w:color w:val="0000FF"/>
          <w:u w:val="single"/>
        </w:rPr>
      </w:pPr>
    </w:p>
    <w:p w14:paraId="1175FE2F" w14:textId="77777777" w:rsidR="00F77C70" w:rsidRDefault="00000000">
      <w:pPr>
        <w:pBdr>
          <w:top w:val="nil"/>
          <w:left w:val="nil"/>
          <w:bottom w:val="nil"/>
          <w:right w:val="nil"/>
          <w:between w:val="nil"/>
        </w:pBdr>
        <w:spacing w:line="240" w:lineRule="auto"/>
        <w:rPr>
          <w:rFonts w:eastAsia="Arial"/>
          <w:b/>
          <w:color w:val="000000"/>
        </w:rPr>
      </w:pPr>
      <w:r>
        <w:rPr>
          <w:rFonts w:eastAsia="Arial"/>
          <w:b/>
          <w:color w:val="000000"/>
        </w:rPr>
        <w:t xml:space="preserve">Contatto Stampa </w:t>
      </w:r>
      <w:proofErr w:type="spellStart"/>
      <w:r>
        <w:rPr>
          <w:rFonts w:eastAsia="Arial"/>
          <w:b/>
          <w:color w:val="000000"/>
        </w:rPr>
        <w:t>Agencia</w:t>
      </w:r>
      <w:proofErr w:type="spellEnd"/>
      <w:r>
        <w:rPr>
          <w:rFonts w:eastAsia="Arial"/>
          <w:b/>
          <w:color w:val="000000"/>
        </w:rPr>
        <w:t>:</w:t>
      </w:r>
    </w:p>
    <w:p w14:paraId="76A4FD0E" w14:textId="77777777" w:rsidR="00F77C70" w:rsidRPr="007C7D64" w:rsidRDefault="00000000">
      <w:pPr>
        <w:spacing w:line="240" w:lineRule="auto"/>
        <w:rPr>
          <w:lang w:val="pl-PL"/>
        </w:rPr>
      </w:pPr>
      <w:r w:rsidRPr="007C7D64">
        <w:rPr>
          <w:color w:val="000000"/>
          <w:lang w:val="pl-PL"/>
        </w:rPr>
        <w:t>Publitek GmbH</w:t>
      </w:r>
    </w:p>
    <w:p w14:paraId="328CF3D4" w14:textId="77777777" w:rsidR="00F77C70" w:rsidRPr="007C7D64" w:rsidRDefault="00000000">
      <w:pPr>
        <w:spacing w:line="240" w:lineRule="auto"/>
        <w:rPr>
          <w:lang w:val="pl-PL"/>
        </w:rPr>
      </w:pPr>
      <w:r w:rsidRPr="007C7D64">
        <w:rPr>
          <w:color w:val="000000"/>
          <w:lang w:val="pl-PL"/>
        </w:rPr>
        <w:t>Julia Wolff</w:t>
      </w:r>
    </w:p>
    <w:p w14:paraId="6472DBAA" w14:textId="77777777" w:rsidR="00F77C70" w:rsidRPr="007C7D64" w:rsidRDefault="00000000">
      <w:pPr>
        <w:spacing w:line="240" w:lineRule="auto"/>
        <w:rPr>
          <w:lang w:val="pl-PL"/>
        </w:rPr>
      </w:pPr>
      <w:r w:rsidRPr="007C7D64">
        <w:rPr>
          <w:color w:val="000000"/>
          <w:lang w:val="pl-PL"/>
        </w:rPr>
        <w:t>+49 (0)4181 968098-18</w:t>
      </w:r>
    </w:p>
    <w:p w14:paraId="2561E5D2" w14:textId="77777777" w:rsidR="00F77C70" w:rsidRPr="007C7D64" w:rsidRDefault="00000000">
      <w:pPr>
        <w:spacing w:line="240" w:lineRule="auto"/>
        <w:rPr>
          <w:color w:val="000000"/>
          <w:lang w:val="pl-PL"/>
        </w:rPr>
      </w:pPr>
      <w:hyperlink r:id="rId18">
        <w:r w:rsidRPr="007C7D64">
          <w:rPr>
            <w:color w:val="0000FF"/>
            <w:u w:val="single"/>
            <w:lang w:val="pl-PL"/>
          </w:rPr>
          <w:t>julia.wolff@publitek.com</w:t>
        </w:r>
      </w:hyperlink>
    </w:p>
    <w:p w14:paraId="37BA73B2" w14:textId="77777777" w:rsidR="00F77C70" w:rsidRDefault="00000000">
      <w:pPr>
        <w:spacing w:line="240" w:lineRule="auto"/>
      </w:pPr>
      <w:r>
        <w:rPr>
          <w:color w:val="000000"/>
        </w:rPr>
        <w:t xml:space="preserve">Bremer </w:t>
      </w:r>
      <w:proofErr w:type="spellStart"/>
      <w:r>
        <w:rPr>
          <w:color w:val="000000"/>
        </w:rPr>
        <w:t>Straße</w:t>
      </w:r>
      <w:proofErr w:type="spellEnd"/>
      <w:r>
        <w:rPr>
          <w:color w:val="000000"/>
        </w:rPr>
        <w:t xml:space="preserve"> 6</w:t>
      </w:r>
    </w:p>
    <w:p w14:paraId="06F5354E" w14:textId="77777777" w:rsidR="00F77C70" w:rsidRDefault="00000000">
      <w:pPr>
        <w:spacing w:line="240" w:lineRule="auto"/>
        <w:rPr>
          <w:b/>
        </w:rPr>
      </w:pPr>
      <w:r>
        <w:rPr>
          <w:color w:val="000000"/>
        </w:rPr>
        <w:t xml:space="preserve">21244 </w:t>
      </w:r>
      <w:proofErr w:type="spellStart"/>
      <w:r>
        <w:rPr>
          <w:color w:val="000000"/>
        </w:rPr>
        <w:t>Buchholz</w:t>
      </w:r>
      <w:proofErr w:type="spellEnd"/>
    </w:p>
    <w:p w14:paraId="080AA950" w14:textId="77777777" w:rsidR="00F77C70" w:rsidRDefault="00F77C70">
      <w:pPr>
        <w:spacing w:line="240" w:lineRule="auto"/>
        <w:rPr>
          <w:b/>
        </w:rPr>
      </w:pPr>
    </w:p>
    <w:p w14:paraId="1C0E097A" w14:textId="77777777" w:rsidR="00F77C70" w:rsidRDefault="00000000">
      <w:pPr>
        <w:spacing w:line="240" w:lineRule="auto"/>
        <w:rPr>
          <w:b/>
        </w:rPr>
      </w:pPr>
      <w:r>
        <w:rPr>
          <w:b/>
        </w:rPr>
        <w:t>Si prega di inviare le pubblicazioni cartacee a:</w:t>
      </w:r>
    </w:p>
    <w:p w14:paraId="618E55A0" w14:textId="77777777" w:rsidR="00F77C70" w:rsidRDefault="00000000">
      <w:pPr>
        <w:spacing w:line="240" w:lineRule="auto"/>
      </w:pPr>
      <w:r>
        <w:rPr>
          <w:color w:val="000000"/>
        </w:rPr>
        <w:t>Publitek GmbH</w:t>
      </w:r>
    </w:p>
    <w:p w14:paraId="2C77BFD5" w14:textId="77777777" w:rsidR="00F77C70" w:rsidRDefault="00000000">
      <w:pPr>
        <w:spacing w:line="240" w:lineRule="auto"/>
      </w:pPr>
      <w:r>
        <w:rPr>
          <w:color w:val="000000"/>
        </w:rPr>
        <w:t>Diana Penzien</w:t>
      </w:r>
    </w:p>
    <w:p w14:paraId="090706A7" w14:textId="77777777" w:rsidR="00F77C70" w:rsidRDefault="00000000">
      <w:pPr>
        <w:spacing w:line="240" w:lineRule="auto"/>
      </w:pPr>
      <w:r>
        <w:rPr>
          <w:color w:val="000000"/>
        </w:rPr>
        <w:t xml:space="preserve">Bremer </w:t>
      </w:r>
      <w:proofErr w:type="spellStart"/>
      <w:r>
        <w:rPr>
          <w:color w:val="000000"/>
        </w:rPr>
        <w:t>Straße</w:t>
      </w:r>
      <w:proofErr w:type="spellEnd"/>
      <w:r>
        <w:rPr>
          <w:color w:val="000000"/>
        </w:rPr>
        <w:t xml:space="preserve"> 6</w:t>
      </w:r>
    </w:p>
    <w:p w14:paraId="6D96F7F3" w14:textId="77777777" w:rsidR="00F77C70" w:rsidRDefault="00000000">
      <w:pPr>
        <w:spacing w:line="240" w:lineRule="auto"/>
      </w:pPr>
      <w:r>
        <w:rPr>
          <w:color w:val="000000"/>
        </w:rPr>
        <w:t xml:space="preserve">21244 </w:t>
      </w:r>
      <w:proofErr w:type="spellStart"/>
      <w:r>
        <w:rPr>
          <w:color w:val="000000"/>
        </w:rPr>
        <w:t>Buchholz</w:t>
      </w:r>
      <w:proofErr w:type="spellEnd"/>
    </w:p>
    <w:p w14:paraId="53B329D3" w14:textId="77777777" w:rsidR="00F77C70" w:rsidRDefault="00F77C70">
      <w:pPr>
        <w:pBdr>
          <w:top w:val="nil"/>
          <w:left w:val="nil"/>
          <w:bottom w:val="nil"/>
          <w:right w:val="nil"/>
          <w:between w:val="nil"/>
        </w:pBdr>
        <w:spacing w:line="240" w:lineRule="auto"/>
        <w:rPr>
          <w:rFonts w:eastAsia="Arial"/>
          <w:color w:val="000000"/>
        </w:rPr>
      </w:pPr>
    </w:p>
    <w:p w14:paraId="1B5869EF" w14:textId="77777777" w:rsidR="00F77C70" w:rsidRDefault="00F77C70"/>
    <w:p w14:paraId="29E4A6FB" w14:textId="77777777" w:rsidR="00F77C70" w:rsidRDefault="00F77C70">
      <w:pPr>
        <w:pBdr>
          <w:top w:val="nil"/>
          <w:left w:val="nil"/>
          <w:bottom w:val="nil"/>
          <w:right w:val="nil"/>
          <w:between w:val="nil"/>
        </w:pBdr>
        <w:spacing w:line="240" w:lineRule="auto"/>
        <w:rPr>
          <w:rFonts w:eastAsia="Arial"/>
          <w:color w:val="000000"/>
          <w:sz w:val="16"/>
          <w:szCs w:val="16"/>
        </w:rPr>
      </w:pPr>
    </w:p>
    <w:p w14:paraId="43E6A4A7" w14:textId="77777777" w:rsidR="00F77C70" w:rsidRDefault="00F77C70">
      <w:pPr>
        <w:pBdr>
          <w:top w:val="nil"/>
          <w:left w:val="nil"/>
          <w:bottom w:val="nil"/>
          <w:right w:val="nil"/>
          <w:between w:val="nil"/>
        </w:pBdr>
        <w:spacing w:line="240" w:lineRule="auto"/>
        <w:rPr>
          <w:rFonts w:eastAsia="Arial"/>
          <w:i/>
          <w:color w:val="000000"/>
          <w:sz w:val="16"/>
          <w:szCs w:val="16"/>
        </w:rPr>
      </w:pPr>
    </w:p>
    <w:p w14:paraId="024780B9" w14:textId="77777777" w:rsidR="00F77C70" w:rsidRDefault="00F77C70">
      <w:pPr>
        <w:pBdr>
          <w:top w:val="nil"/>
          <w:left w:val="nil"/>
          <w:bottom w:val="nil"/>
          <w:right w:val="nil"/>
          <w:between w:val="nil"/>
        </w:pBdr>
        <w:spacing w:line="240" w:lineRule="auto"/>
        <w:jc w:val="center"/>
        <w:rPr>
          <w:rFonts w:eastAsia="Arial"/>
          <w:i/>
          <w:color w:val="000000"/>
          <w:sz w:val="16"/>
          <w:szCs w:val="16"/>
        </w:rPr>
      </w:pPr>
    </w:p>
    <w:sectPr w:rsidR="00F77C70">
      <w:headerReference w:type="default" r:id="rId19"/>
      <w:footerReference w:type="default" r:id="rId20"/>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A57E1" w14:textId="77777777" w:rsidR="00787B54" w:rsidRDefault="00787B54">
      <w:pPr>
        <w:spacing w:line="240" w:lineRule="auto"/>
      </w:pPr>
      <w:r>
        <w:separator/>
      </w:r>
    </w:p>
  </w:endnote>
  <w:endnote w:type="continuationSeparator" w:id="0">
    <w:p w14:paraId="545EA67C" w14:textId="77777777" w:rsidR="00787B54" w:rsidRDefault="00787B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9F92" w14:textId="77777777" w:rsidR="00F77C70" w:rsidRDefault="00F77C70">
    <w:pPr>
      <w:pBdr>
        <w:top w:val="nil"/>
        <w:left w:val="nil"/>
        <w:bottom w:val="nil"/>
        <w:right w:val="nil"/>
        <w:between w:val="nil"/>
      </w:pBdr>
      <w:spacing w:line="240" w:lineRule="auto"/>
      <w:ind w:right="283"/>
      <w:rPr>
        <w:rFonts w:eastAsia="Arial"/>
        <w:b/>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1F469" w14:textId="77777777" w:rsidR="00787B54" w:rsidRDefault="00787B54">
      <w:pPr>
        <w:spacing w:line="240" w:lineRule="auto"/>
      </w:pPr>
      <w:r>
        <w:separator/>
      </w:r>
    </w:p>
  </w:footnote>
  <w:footnote w:type="continuationSeparator" w:id="0">
    <w:p w14:paraId="1B920AE2" w14:textId="77777777" w:rsidR="00787B54" w:rsidRDefault="00787B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5FBB5"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36961663"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36E5A051"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224420CA"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2AAAA54C"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6F942C1F"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226DA776"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63BE19A1"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0EEA256F" w14:textId="77777777" w:rsidR="00F77C70" w:rsidRDefault="00F77C70">
    <w:pPr>
      <w:pBdr>
        <w:top w:val="nil"/>
        <w:left w:val="nil"/>
        <w:bottom w:val="nil"/>
        <w:right w:val="nil"/>
        <w:between w:val="nil"/>
      </w:pBdr>
      <w:spacing w:line="240" w:lineRule="auto"/>
      <w:jc w:val="right"/>
      <w:rPr>
        <w:rFonts w:eastAsia="Arial"/>
        <w:b/>
        <w:color w:val="00000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C70"/>
    <w:rsid w:val="00177CE5"/>
    <w:rsid w:val="001B76A1"/>
    <w:rsid w:val="002E576E"/>
    <w:rsid w:val="00643731"/>
    <w:rsid w:val="00787B54"/>
    <w:rsid w:val="007C7D64"/>
    <w:rsid w:val="009722D5"/>
    <w:rsid w:val="00BB7271"/>
    <w:rsid w:val="00EA49D8"/>
    <w:rsid w:val="00F77C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69EE7"/>
  <w15:docId w15:val="{72E7E6E2-8526-4C1A-A17A-6A0D0778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CZ"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971"/>
    <w:pPr>
      <w:suppressAutoHyphens/>
    </w:pPr>
    <w:rPr>
      <w:rFonts w:eastAsia="Times New Roman"/>
      <w:kern w:val="1"/>
      <w:lang w:val="it-IT" w:eastAsia="ar-SA"/>
    </w:rPr>
  </w:style>
  <w:style w:type="paragraph" w:styleId="Heading1">
    <w:name w:val="heading 1"/>
    <w:basedOn w:val="Normal"/>
    <w:next w:val="Normal"/>
    <w:link w:val="Heading1Char"/>
    <w:uiPriority w:val="9"/>
    <w:qFormat/>
    <w:rsid w:val="0084744E"/>
    <w:pPr>
      <w:spacing w:line="276" w:lineRule="auto"/>
      <w:outlineLvl w:val="0"/>
    </w:pPr>
    <w:rPr>
      <w:b/>
      <w:bCs/>
      <w:noProof/>
      <w:sz w:val="36"/>
      <w:szCs w:val="36"/>
      <w:lang w:eastAsia="de-DE"/>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Heading1Char">
    <w:name w:val="Heading 1 Char"/>
    <w:basedOn w:val="DefaultParagraphFont"/>
    <w:link w:val="Heading1"/>
    <w:uiPriority w:val="9"/>
    <w:rsid w:val="0084744E"/>
    <w:rPr>
      <w:rFonts w:ascii="Arial" w:eastAsia="Times New Roman" w:hAnsi="Arial" w:cs="Arial"/>
      <w:b/>
      <w:bCs/>
      <w:noProof/>
      <w:kern w:val="1"/>
      <w:sz w:val="36"/>
      <w:szCs w:val="36"/>
      <w:lang w:val="it-IT" w:eastAsia="de-DE"/>
    </w:rPr>
  </w:style>
  <w:style w:type="character" w:customStyle="1" w:styleId="Heading2Char">
    <w:name w:val="Heading 2 Char"/>
    <w:aliases w:val="Subheadline Char"/>
    <w:basedOn w:val="DefaultParagraphFont"/>
    <w:link w:val="Heading2"/>
    <w:uiPriority w:val="9"/>
    <w:rsid w:val="004D2177"/>
    <w:rPr>
      <w:rFonts w:ascii="Arial" w:eastAsiaTheme="majorEastAsia" w:hAnsi="Arial" w:cstheme="majorBidi"/>
      <w:bCs/>
      <w:i/>
      <w:sz w:val="24"/>
      <w:szCs w:val="26"/>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E7BA3"/>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DefaultParagraphFont"/>
    <w:rsid w:val="009E7BA3"/>
  </w:style>
  <w:style w:type="character" w:styleId="UnresolvedMention">
    <w:name w:val="Unresolved Mention"/>
    <w:basedOn w:val="DefaultParagraphFont"/>
    <w:uiPriority w:val="99"/>
    <w:semiHidden/>
    <w:unhideWhenUsed/>
    <w:rsid w:val="00425F9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linkedin.com/company/congatec/" TargetMode="External"/><Relationship Id="rId18" Type="http://schemas.openxmlformats.org/officeDocument/2006/relationships/hyperlink" Target="mailto:julia.wolff@publitek.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www.congatec.com/it/" TargetMode="External"/><Relationship Id="rId17" Type="http://schemas.openxmlformats.org/officeDocument/2006/relationships/hyperlink" Target="http://www.congatec.com" TargetMode="External"/><Relationship Id="rId2" Type="http://schemas.openxmlformats.org/officeDocument/2006/relationships/styles" Target="styles.xml"/><Relationship Id="rId16" Type="http://schemas.openxmlformats.org/officeDocument/2006/relationships/hyperlink" Target="https://www.congatec.com/it/congatec/comunicato-stampa.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gatec.com/de/congatec/events/congatec-at-embedded-world-2024/"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youtube.com/user/congatecAE" TargetMode="External"/><Relationship Id="rId23" Type="http://schemas.openxmlformats.org/officeDocument/2006/relationships/customXml" Target="../customXml/item2.xml"/><Relationship Id="rId10" Type="http://schemas.openxmlformats.org/officeDocument/2006/relationships/hyperlink" Target="https://www.congatec.com/en/products/accessories/conga-hpcuatx-serve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ngatec.com/en/products/accessories/conga-hpc-uatx-server" TargetMode="External"/><Relationship Id="rId14" Type="http://schemas.openxmlformats.org/officeDocument/2006/relationships/hyperlink" Target="https://twitter.com/i/flow/login?redirect_after_login=%2FcongatecAG"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ZFy1Rwif15nGPf1wZojGJhZOhw==">CgMxLjA4AHIhMWViVUF5SW55WlJINWI4N0hRSUU1ODJVY3djRDJRM21S</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19" ma:contentTypeDescription="Ein neues Dokument erstellen." ma:contentTypeScope="" ma:versionID="f3b5ead81560647055a06c8ae8430cc5">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dac7b4e4872dc4ed38db46e401b8ea2a"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8FEA13-2787-4F10-A911-DD8840D6804D}"/>
</file>

<file path=customXml/itemProps3.xml><?xml version="1.0" encoding="utf-8"?>
<ds:datastoreItem xmlns:ds="http://schemas.openxmlformats.org/officeDocument/2006/customXml" ds:itemID="{F7D8E5C9-968C-48AC-9174-99DC90E3F5E5}"/>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7021</Characters>
  <Application>Microsoft Office Word</Application>
  <DocSecurity>0</DocSecurity>
  <Lines>143</Lines>
  <Paragraphs>41</Paragraphs>
  <ScaleCrop>false</ScaleCrop>
  <Company>Archetype</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Alberto Rodriguez Garcia (DE)</cp:lastModifiedBy>
  <cp:revision>7</cp:revision>
  <dcterms:created xsi:type="dcterms:W3CDTF">2024-03-20T08:46:00Z</dcterms:created>
  <dcterms:modified xsi:type="dcterms:W3CDTF">2024-03-20T08:53:00Z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546a947d9ae14cd7854b559a06f17c801dbc4e17b3192b03a7b0ea1cb1cf1fc4</vt:lpwstr>
  </property>
</Properties>
</file>