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041F0C">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041F0C">
      <w:pPr>
        <w:pStyle w:val="berschrift1"/>
        <w:spacing w:line="240" w:lineRule="auto"/>
        <w:rPr>
          <w:rFonts w:cs="Arial"/>
        </w:rPr>
      </w:pPr>
    </w:p>
    <w:p w14:paraId="50C209D9" w14:textId="77777777" w:rsidR="009D0A2B" w:rsidRPr="00955D14" w:rsidRDefault="009D0A2B" w:rsidP="00041F0C">
      <w:pPr>
        <w:pStyle w:val="berschrift1"/>
        <w:spacing w:line="240" w:lineRule="auto"/>
        <w:rPr>
          <w:rFonts w:cs="Arial"/>
          <w:noProof w:val="0"/>
        </w:rPr>
      </w:pPr>
    </w:p>
    <w:p w14:paraId="25235473" w14:textId="02C824C6" w:rsidR="00A97E71" w:rsidRPr="00955D14" w:rsidRDefault="00A97E71" w:rsidP="00041F0C">
      <w:pPr>
        <w:tabs>
          <w:tab w:val="left" w:pos="709"/>
        </w:tabs>
        <w:spacing w:line="240" w:lineRule="auto"/>
      </w:pPr>
      <w:r w:rsidRPr="00955D14">
        <w:t xml:space="preserve">congatec embedded Computer-on-Module </w:t>
      </w:r>
      <w:r w:rsidR="00DD5D58" w:rsidRPr="00955D14">
        <w:t>beschleunigen robuste high-performance Edge-</w:t>
      </w:r>
      <w:r w:rsidR="00F959E4" w:rsidRPr="00955D14">
        <w:t xml:space="preserve">KI </w:t>
      </w:r>
      <w:r w:rsidR="00DD5D58" w:rsidRPr="00955D14">
        <w:t xml:space="preserve">mit </w:t>
      </w:r>
      <w:r w:rsidRPr="00955D14">
        <w:t xml:space="preserve">Qualcomm </w:t>
      </w:r>
      <w:r w:rsidR="00C63B41" w:rsidRPr="00955D14">
        <w:t>Dragonwing™</w:t>
      </w:r>
      <w:r w:rsidR="009E25C2" w:rsidRPr="00955D14">
        <w:t xml:space="preserve"> </w:t>
      </w:r>
      <w:r w:rsidR="00DD5D58" w:rsidRPr="00955D14">
        <w:t>Prozessoren</w:t>
      </w:r>
    </w:p>
    <w:p w14:paraId="1461B6B8" w14:textId="77777777" w:rsidR="000219E5" w:rsidRPr="00955D14" w:rsidRDefault="000219E5" w:rsidP="00041F0C">
      <w:pPr>
        <w:tabs>
          <w:tab w:val="left" w:pos="709"/>
        </w:tabs>
        <w:spacing w:line="240" w:lineRule="auto"/>
      </w:pPr>
    </w:p>
    <w:p w14:paraId="11DBD2AF" w14:textId="31DD378E" w:rsidR="00DD5D58" w:rsidRPr="00955D14" w:rsidRDefault="00A97E71" w:rsidP="00041F0C">
      <w:pPr>
        <w:tabs>
          <w:tab w:val="left" w:pos="709"/>
        </w:tabs>
        <w:spacing w:line="240" w:lineRule="auto"/>
        <w:rPr>
          <w:b/>
          <w:bCs/>
          <w:sz w:val="28"/>
          <w:szCs w:val="28"/>
        </w:rPr>
      </w:pPr>
      <w:r w:rsidRPr="00955D14">
        <w:rPr>
          <w:b/>
          <w:bCs/>
          <w:sz w:val="28"/>
          <w:szCs w:val="28"/>
        </w:rPr>
        <w:t xml:space="preserve">congatec </w:t>
      </w:r>
      <w:r w:rsidR="00DD5D58" w:rsidRPr="00955D14">
        <w:rPr>
          <w:b/>
          <w:bCs/>
          <w:sz w:val="28"/>
          <w:szCs w:val="28"/>
        </w:rPr>
        <w:t>und</w:t>
      </w:r>
      <w:r w:rsidRPr="00955D14">
        <w:rPr>
          <w:b/>
          <w:bCs/>
          <w:sz w:val="28"/>
          <w:szCs w:val="28"/>
        </w:rPr>
        <w:t xml:space="preserve"> Qualcomm </w:t>
      </w:r>
      <w:r w:rsidR="00565FF9" w:rsidRPr="00955D14">
        <w:rPr>
          <w:b/>
          <w:bCs/>
          <w:sz w:val="28"/>
          <w:szCs w:val="28"/>
        </w:rPr>
        <w:t xml:space="preserve">kooperieren, um </w:t>
      </w:r>
      <w:r w:rsidR="00DD5D58" w:rsidRPr="00955D14">
        <w:rPr>
          <w:b/>
          <w:bCs/>
          <w:sz w:val="28"/>
          <w:szCs w:val="28"/>
        </w:rPr>
        <w:t xml:space="preserve">die nächste Technologiewelle mit </w:t>
      </w:r>
      <w:r w:rsidR="00AC347F" w:rsidRPr="00955D14">
        <w:rPr>
          <w:b/>
          <w:bCs/>
          <w:sz w:val="28"/>
          <w:szCs w:val="28"/>
        </w:rPr>
        <w:t xml:space="preserve">high-performance </w:t>
      </w:r>
      <w:r w:rsidR="00565FF9" w:rsidRPr="00955D14">
        <w:rPr>
          <w:b/>
          <w:bCs/>
          <w:sz w:val="28"/>
          <w:szCs w:val="28"/>
        </w:rPr>
        <w:t xml:space="preserve">Plattformen mit Qualcomm Dragonwing </w:t>
      </w:r>
      <w:r w:rsidR="006A76A6" w:rsidRPr="00955D14">
        <w:rPr>
          <w:b/>
          <w:bCs/>
          <w:sz w:val="28"/>
          <w:szCs w:val="28"/>
        </w:rPr>
        <w:t>voran</w:t>
      </w:r>
      <w:r w:rsidR="00565FF9" w:rsidRPr="00955D14">
        <w:rPr>
          <w:b/>
          <w:bCs/>
          <w:sz w:val="28"/>
          <w:szCs w:val="28"/>
        </w:rPr>
        <w:t>zutreiben</w:t>
      </w:r>
    </w:p>
    <w:p w14:paraId="64144E5A" w14:textId="77777777" w:rsidR="000219E5" w:rsidRPr="00955D14" w:rsidRDefault="000219E5" w:rsidP="00041F0C">
      <w:pPr>
        <w:tabs>
          <w:tab w:val="left" w:pos="709"/>
        </w:tabs>
        <w:spacing w:line="240" w:lineRule="auto"/>
      </w:pPr>
    </w:p>
    <w:p w14:paraId="522B3F86" w14:textId="6AE73134" w:rsidR="00A97E71" w:rsidRDefault="00011EE7" w:rsidP="00041F0C">
      <w:pPr>
        <w:tabs>
          <w:tab w:val="left" w:pos="709"/>
        </w:tabs>
        <w:spacing w:line="240" w:lineRule="auto"/>
      </w:pPr>
      <w:r>
        <w:rPr>
          <w:noProof/>
        </w:rPr>
        <w:drawing>
          <wp:inline distT="0" distB="0" distL="0" distR="0" wp14:anchorId="0370E089" wp14:editId="12789D67">
            <wp:extent cx="2188826" cy="1999397"/>
            <wp:effectExtent l="0" t="0" r="2540" b="1270"/>
            <wp:docPr id="20003094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6876" cy="2006751"/>
                    </a:xfrm>
                    <a:prstGeom prst="rect">
                      <a:avLst/>
                    </a:prstGeom>
                    <a:noFill/>
                    <a:ln>
                      <a:noFill/>
                    </a:ln>
                  </pic:spPr>
                </pic:pic>
              </a:graphicData>
            </a:graphic>
          </wp:inline>
        </w:drawing>
      </w:r>
      <w:commentRangeStart w:id="0"/>
      <w:commentRangeEnd w:id="0"/>
      <w:r w:rsidR="0068003C">
        <w:rPr>
          <w:rStyle w:val="Kommentarzeichen"/>
        </w:rPr>
        <w:commentReference w:id="0"/>
      </w:r>
    </w:p>
    <w:p w14:paraId="6B4AB5BB" w14:textId="3FA6F533" w:rsidR="00011EE7" w:rsidRPr="00011EE7" w:rsidRDefault="00011EE7" w:rsidP="00041F0C">
      <w:pPr>
        <w:tabs>
          <w:tab w:val="left" w:pos="709"/>
        </w:tabs>
        <w:spacing w:line="240" w:lineRule="auto"/>
        <w:rPr>
          <w:i/>
        </w:rPr>
      </w:pPr>
      <w:r w:rsidRPr="00011EE7">
        <w:rPr>
          <w:i/>
        </w:rPr>
        <w:t>„Unsere Technologiekooperation mit Qualcomm Technologies ermöglicht es Entwicklern die extreme Rechenleistung und Schnittstellenbandbreite</w:t>
      </w:r>
      <w:r w:rsidR="003645FB">
        <w:rPr>
          <w:i/>
        </w:rPr>
        <w:t xml:space="preserve"> mit einem </w:t>
      </w:r>
      <w:r w:rsidR="003645FB" w:rsidRPr="00011EE7">
        <w:rPr>
          <w:i/>
        </w:rPr>
        <w:t>energieeffiziente</w:t>
      </w:r>
      <w:r w:rsidR="003645FB">
        <w:rPr>
          <w:i/>
        </w:rPr>
        <w:t>n</w:t>
      </w:r>
      <w:r w:rsidR="003645FB" w:rsidRPr="00011EE7">
        <w:rPr>
          <w:i/>
        </w:rPr>
        <w:t xml:space="preserve"> Design </w:t>
      </w:r>
      <w:r w:rsidR="003645FB">
        <w:rPr>
          <w:i/>
        </w:rPr>
        <w:t>zu nutzen</w:t>
      </w:r>
      <w:r w:rsidRPr="00011EE7">
        <w:rPr>
          <w:i/>
        </w:rPr>
        <w:t xml:space="preserve">, die jahrzehntelang </w:t>
      </w:r>
      <w:r w:rsidR="003645FB">
        <w:rPr>
          <w:i/>
        </w:rPr>
        <w:t xml:space="preserve">nur </w:t>
      </w:r>
      <w:r w:rsidRPr="00011EE7">
        <w:rPr>
          <w:i/>
        </w:rPr>
        <w:t xml:space="preserve">mit x86-Architekturen </w:t>
      </w:r>
      <w:r w:rsidR="00AF372B">
        <w:rPr>
          <w:i/>
        </w:rPr>
        <w:t>erreichbar</w:t>
      </w:r>
      <w:r w:rsidRPr="00011EE7">
        <w:rPr>
          <w:i/>
        </w:rPr>
        <w:t xml:space="preserve"> war</w:t>
      </w:r>
      <w:r w:rsidR="00AF372B">
        <w:rPr>
          <w:i/>
        </w:rPr>
        <w:t>en</w:t>
      </w:r>
      <w:r w:rsidRPr="00011EE7">
        <w:rPr>
          <w:i/>
        </w:rPr>
        <w:t>“, sagt Konrad Garhammer, COO &amp; CTO bei congatec.</w:t>
      </w:r>
    </w:p>
    <w:p w14:paraId="3BF51772" w14:textId="77777777" w:rsidR="000219E5" w:rsidRDefault="000219E5" w:rsidP="00041F0C">
      <w:pPr>
        <w:tabs>
          <w:tab w:val="left" w:pos="709"/>
        </w:tabs>
        <w:spacing w:line="240" w:lineRule="auto"/>
      </w:pPr>
    </w:p>
    <w:p w14:paraId="73C3C46B" w14:textId="77777777" w:rsidR="00845CC4" w:rsidRDefault="00845CC4" w:rsidP="00845CC4">
      <w:pPr>
        <w:pStyle w:val="StandardWeb"/>
        <w:shd w:val="clear" w:color="auto" w:fill="FFFFFF"/>
        <w:spacing w:before="0" w:beforeAutospacing="0" w:after="0" w:afterAutospacing="0"/>
        <w:rPr>
          <w:color w:val="000000" w:themeColor="text1"/>
        </w:rPr>
      </w:pPr>
      <w:r>
        <w:rPr>
          <w:noProof/>
          <w:color w:val="000000" w:themeColor="text1"/>
        </w:rPr>
        <w:drawing>
          <wp:inline distT="0" distB="0" distL="0" distR="0" wp14:anchorId="6BED9890" wp14:editId="1502AFD2">
            <wp:extent cx="2159635" cy="2118511"/>
            <wp:effectExtent l="0" t="0" r="0" b="0"/>
            <wp:docPr id="2075416899"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16899" name="Grafik 1" descr="Ein Bild, das Menschliches Gesicht, Person, Kleidung, Lächeln enthält.&#10;&#10;KI-generierte Inhalte können fehlerhaft sei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5170" b="29430"/>
                    <a:stretch>
                      <a:fillRect/>
                    </a:stretch>
                  </pic:blipFill>
                  <pic:spPr bwMode="auto">
                    <a:xfrm>
                      <a:off x="0" y="0"/>
                      <a:ext cx="2160000" cy="2118869"/>
                    </a:xfrm>
                    <a:prstGeom prst="rect">
                      <a:avLst/>
                    </a:prstGeom>
                    <a:noFill/>
                    <a:ln>
                      <a:noFill/>
                    </a:ln>
                    <a:extLst>
                      <a:ext uri="{53640926-AAD7-44D8-BBD7-CCE9431645EC}">
                        <a14:shadowObscured xmlns:a14="http://schemas.microsoft.com/office/drawing/2010/main"/>
                      </a:ext>
                    </a:extLst>
                  </pic:spPr>
                </pic:pic>
              </a:graphicData>
            </a:graphic>
          </wp:inline>
        </w:drawing>
      </w:r>
    </w:p>
    <w:p w14:paraId="71259CD1" w14:textId="62D28576" w:rsidR="00845CC4" w:rsidRPr="00845CC4" w:rsidRDefault="00845CC4" w:rsidP="00041F0C">
      <w:pPr>
        <w:tabs>
          <w:tab w:val="left" w:pos="709"/>
        </w:tabs>
        <w:spacing w:line="240" w:lineRule="auto"/>
        <w:rPr>
          <w:i/>
        </w:rPr>
      </w:pPr>
      <w:r w:rsidRPr="00845CC4">
        <w:rPr>
          <w:i/>
          <w:color w:val="000000" w:themeColor="text1"/>
        </w:rPr>
        <w:t xml:space="preserve">„Unsere Zusammenarbeit mit congatec vereint die herausragende Rechenleistung, branchenführende Energieeffizienz, On-Device-KI und die industrietauglichen Funktionen der Dragonwing IQ-X Serie mit der Flexibilität, Skalierbarkeit und Robustheit von congatecs COM-HPC-Mini-Portfolio und applikationsfertigem Ökosystem“, erklärt Enrico </w:t>
      </w:r>
      <w:proofErr w:type="spellStart"/>
      <w:r w:rsidRPr="00845CC4">
        <w:rPr>
          <w:i/>
          <w:color w:val="000000" w:themeColor="text1"/>
        </w:rPr>
        <w:t>Salvatori</w:t>
      </w:r>
      <w:proofErr w:type="spellEnd"/>
      <w:r w:rsidRPr="00845CC4">
        <w:rPr>
          <w:i/>
          <w:color w:val="000000" w:themeColor="text1"/>
        </w:rPr>
        <w:t xml:space="preserve">, Senior </w:t>
      </w:r>
      <w:proofErr w:type="spellStart"/>
      <w:r w:rsidRPr="00845CC4">
        <w:rPr>
          <w:i/>
          <w:color w:val="000000" w:themeColor="text1"/>
        </w:rPr>
        <w:t>Vice</w:t>
      </w:r>
      <w:proofErr w:type="spellEnd"/>
      <w:r w:rsidRPr="00845CC4">
        <w:rPr>
          <w:i/>
          <w:color w:val="000000" w:themeColor="text1"/>
        </w:rPr>
        <w:t xml:space="preserve"> </w:t>
      </w:r>
      <w:proofErr w:type="spellStart"/>
      <w:r w:rsidRPr="00845CC4">
        <w:rPr>
          <w:i/>
          <w:color w:val="000000" w:themeColor="text1"/>
        </w:rPr>
        <w:t>President</w:t>
      </w:r>
      <w:proofErr w:type="spellEnd"/>
      <w:r w:rsidRPr="00845CC4">
        <w:rPr>
          <w:i/>
          <w:color w:val="000000" w:themeColor="text1"/>
        </w:rPr>
        <w:t xml:space="preserve"> und </w:t>
      </w:r>
      <w:proofErr w:type="spellStart"/>
      <w:r w:rsidRPr="00845CC4">
        <w:rPr>
          <w:i/>
          <w:color w:val="000000" w:themeColor="text1"/>
        </w:rPr>
        <w:t>President</w:t>
      </w:r>
      <w:proofErr w:type="spellEnd"/>
      <w:r w:rsidRPr="00845CC4">
        <w:rPr>
          <w:i/>
          <w:color w:val="000000" w:themeColor="text1"/>
        </w:rPr>
        <w:t xml:space="preserve"> von Qualcomm Europe, Inc.</w:t>
      </w:r>
    </w:p>
    <w:p w14:paraId="0C27F3E1" w14:textId="77777777" w:rsidR="00845CC4" w:rsidRPr="00845CC4" w:rsidRDefault="00845CC4" w:rsidP="00041F0C">
      <w:pPr>
        <w:tabs>
          <w:tab w:val="left" w:pos="709"/>
        </w:tabs>
        <w:spacing w:line="240" w:lineRule="auto"/>
      </w:pPr>
    </w:p>
    <w:p w14:paraId="6030D4AA" w14:textId="0199E94D" w:rsidR="00A97E71" w:rsidRPr="00955D14" w:rsidRDefault="00A97E71" w:rsidP="4443F071">
      <w:pPr>
        <w:pStyle w:val="StandardWeb"/>
        <w:shd w:val="clear" w:color="auto" w:fill="FFFFFF" w:themeFill="background1"/>
        <w:spacing w:before="0" w:beforeAutospacing="0" w:after="0" w:afterAutospacing="0"/>
        <w:rPr>
          <w:lang w:val="de-DE"/>
        </w:rPr>
      </w:pPr>
      <w:r w:rsidRPr="00955D14">
        <w:rPr>
          <w:b/>
          <w:bCs/>
          <w:lang w:val="de-DE"/>
        </w:rPr>
        <w:t xml:space="preserve">Deggendorf, </w:t>
      </w:r>
      <w:r w:rsidR="00E318BB" w:rsidRPr="00955D14">
        <w:rPr>
          <w:b/>
          <w:bCs/>
          <w:lang w:val="de-DE"/>
        </w:rPr>
        <w:t>18.</w:t>
      </w:r>
      <w:r w:rsidRPr="00955D14">
        <w:rPr>
          <w:b/>
          <w:bCs/>
          <w:lang w:val="de-DE"/>
        </w:rPr>
        <w:t xml:space="preserve"> November, 2025</w:t>
      </w:r>
      <w:r w:rsidRPr="00955D14">
        <w:rPr>
          <w:lang w:val="de-DE"/>
        </w:rPr>
        <w:t xml:space="preserve"> * * * </w:t>
      </w:r>
      <w:hyperlink r:id="rId16">
        <w:r w:rsidRPr="00955D14">
          <w:rPr>
            <w:rStyle w:val="Hyperlink"/>
            <w:lang w:val="de-DE"/>
          </w:rPr>
          <w:t>congatec</w:t>
        </w:r>
      </w:hyperlink>
      <w:r w:rsidRPr="00955D14">
        <w:rPr>
          <w:lang w:val="de-DE"/>
        </w:rPr>
        <w:t xml:space="preserve"> </w:t>
      </w:r>
      <w:r w:rsidR="00E318BB" w:rsidRPr="00955D14">
        <w:rPr>
          <w:lang w:val="de-DE"/>
        </w:rPr>
        <w:t xml:space="preserve">– ein führender Anbieter von Embedded und Edge Computer Technologie – gibt heute seine </w:t>
      </w:r>
      <w:r w:rsidR="00EE0D2E" w:rsidRPr="00955D14">
        <w:rPr>
          <w:lang w:val="de-DE"/>
        </w:rPr>
        <w:t>Zusammena</w:t>
      </w:r>
      <w:r w:rsidR="00B14CB7" w:rsidRPr="00955D14">
        <w:rPr>
          <w:lang w:val="de-DE"/>
        </w:rPr>
        <w:t>r</w:t>
      </w:r>
      <w:r w:rsidR="00EE0D2E" w:rsidRPr="00955D14">
        <w:rPr>
          <w:lang w:val="de-DE"/>
        </w:rPr>
        <w:t>beit</w:t>
      </w:r>
      <w:r w:rsidR="00E318BB" w:rsidRPr="00955D14">
        <w:rPr>
          <w:lang w:val="de-DE"/>
        </w:rPr>
        <w:t xml:space="preserve"> mit </w:t>
      </w:r>
      <w:hyperlink r:id="rId17">
        <w:r w:rsidRPr="00955D14">
          <w:rPr>
            <w:rStyle w:val="Hyperlink"/>
            <w:lang w:val="de-DE"/>
          </w:rPr>
          <w:t>Qualcomm Technologies, Inc.</w:t>
        </w:r>
      </w:hyperlink>
      <w:r w:rsidR="00413749" w:rsidRPr="00955D14">
        <w:rPr>
          <w:lang w:val="de-DE"/>
        </w:rPr>
        <w:t xml:space="preserve"> </w:t>
      </w:r>
      <w:r w:rsidR="00E318BB" w:rsidRPr="00955D14">
        <w:rPr>
          <w:lang w:val="de-DE"/>
        </w:rPr>
        <w:t xml:space="preserve">bekannt. </w:t>
      </w:r>
      <w:r w:rsidR="00A60010" w:rsidRPr="00955D14">
        <w:rPr>
          <w:lang w:val="de-DE"/>
        </w:rPr>
        <w:t xml:space="preserve">Diese Partnerschaft </w:t>
      </w:r>
      <w:r w:rsidR="00E318BB" w:rsidRPr="00955D14">
        <w:rPr>
          <w:lang w:val="de-DE"/>
        </w:rPr>
        <w:t>beschleunigt die Markteinführung lei</w:t>
      </w:r>
      <w:r w:rsidR="00A60010" w:rsidRPr="00955D14">
        <w:rPr>
          <w:lang w:val="de-DE"/>
        </w:rPr>
        <w:t>s</w:t>
      </w:r>
      <w:r w:rsidR="00E318BB" w:rsidRPr="00955D14">
        <w:rPr>
          <w:lang w:val="de-DE"/>
        </w:rPr>
        <w:t xml:space="preserve">tungsstarker embedded KI-Applikationen für </w:t>
      </w:r>
      <w:r w:rsidR="00440E69" w:rsidRPr="00955D14">
        <w:rPr>
          <w:lang w:val="de-DE"/>
        </w:rPr>
        <w:t>platz-, gewicht</w:t>
      </w:r>
      <w:r w:rsidR="00A60010" w:rsidRPr="00955D14">
        <w:rPr>
          <w:lang w:val="de-DE"/>
        </w:rPr>
        <w:t>s</w:t>
      </w:r>
      <w:r w:rsidR="00440E69" w:rsidRPr="00955D14">
        <w:rPr>
          <w:lang w:val="de-DE"/>
        </w:rPr>
        <w:t xml:space="preserve">- und stromoptimierte </w:t>
      </w:r>
      <w:r w:rsidR="00264F42" w:rsidRPr="00955D14">
        <w:rPr>
          <w:lang w:val="de-DE"/>
        </w:rPr>
        <w:t>Industriel</w:t>
      </w:r>
      <w:r w:rsidR="00440E69" w:rsidRPr="00955D14">
        <w:rPr>
          <w:lang w:val="de-DE"/>
        </w:rPr>
        <w:t xml:space="preserve">ösungen auf Basis der </w:t>
      </w:r>
      <w:r w:rsidR="00B23822" w:rsidRPr="00955D14">
        <w:rPr>
          <w:lang w:val="de-DE"/>
        </w:rPr>
        <w:t>Qualcomm Dragonwing™ Prozessoren</w:t>
      </w:r>
      <w:r w:rsidR="00440E69" w:rsidRPr="00955D14">
        <w:rPr>
          <w:lang w:val="de-DE"/>
        </w:rPr>
        <w:t>. In einem ersten</w:t>
      </w:r>
      <w:r w:rsidR="001262A7" w:rsidRPr="00955D14">
        <w:rPr>
          <w:lang w:val="de-DE"/>
        </w:rPr>
        <w:t xml:space="preserve"> </w:t>
      </w:r>
      <w:r w:rsidR="00440E69" w:rsidRPr="00955D14">
        <w:rPr>
          <w:lang w:val="de-DE"/>
        </w:rPr>
        <w:t>Schritt erschließt die Technologiepartnerschaft die Vielseitigkeit von congatecs applikations</w:t>
      </w:r>
      <w:r w:rsidR="00AB6D6A" w:rsidRPr="00955D14">
        <w:rPr>
          <w:lang w:val="de-DE"/>
        </w:rPr>
        <w:t>f</w:t>
      </w:r>
      <w:r w:rsidR="00440E69" w:rsidRPr="00955D14">
        <w:rPr>
          <w:lang w:val="de-DE"/>
        </w:rPr>
        <w:t xml:space="preserve">ertigem COM-HPC Portfolio für Entwickler, die Qualcomm Dragonwing IQ-X </w:t>
      </w:r>
      <w:r w:rsidR="002C5805" w:rsidRPr="00955D14">
        <w:rPr>
          <w:lang w:val="de-DE"/>
        </w:rPr>
        <w:t>Serie</w:t>
      </w:r>
      <w:r w:rsidR="00217473" w:rsidRPr="00955D14">
        <w:rPr>
          <w:lang w:val="de-DE"/>
        </w:rPr>
        <w:t>s Prozessoren</w:t>
      </w:r>
      <w:r w:rsidR="00440E69" w:rsidRPr="00955D14">
        <w:rPr>
          <w:lang w:val="de-DE"/>
        </w:rPr>
        <w:t xml:space="preserve"> nutzen. </w:t>
      </w:r>
    </w:p>
    <w:p w14:paraId="7E0FE5E3" w14:textId="77777777" w:rsidR="00A60010" w:rsidRPr="00955D14" w:rsidRDefault="00A60010" w:rsidP="00041F0C">
      <w:pPr>
        <w:pStyle w:val="StandardWeb"/>
        <w:shd w:val="clear" w:color="auto" w:fill="FFFFFF"/>
        <w:spacing w:before="0" w:beforeAutospacing="0" w:after="0" w:afterAutospacing="0"/>
        <w:rPr>
          <w:lang w:val="de-DE"/>
        </w:rPr>
      </w:pPr>
    </w:p>
    <w:p w14:paraId="2F2B986C" w14:textId="24BA2DBB" w:rsidR="00291DE1" w:rsidRPr="00955D14" w:rsidRDefault="00B54076" w:rsidP="4443F071">
      <w:pPr>
        <w:pStyle w:val="StandardWeb"/>
        <w:shd w:val="clear" w:color="auto" w:fill="FFFFFF" w:themeFill="background1"/>
        <w:spacing w:before="0" w:beforeAutospacing="0" w:after="0" w:afterAutospacing="0"/>
        <w:rPr>
          <w:lang w:val="de-DE"/>
        </w:rPr>
      </w:pPr>
      <w:r w:rsidRPr="00955D14">
        <w:rPr>
          <w:lang w:val="de-DE"/>
        </w:rPr>
        <w:t>„</w:t>
      </w:r>
      <w:r w:rsidR="00DF3E2F" w:rsidRPr="00DF3E2F">
        <w:rPr>
          <w:lang w:val="de-DE"/>
        </w:rPr>
        <w:t>Unsere Technologiekooperation mit Qualcomm Technologies ermöglicht es Entwicklern die extreme Rechenleistung und Schnittstellenbandbreite mit einem energieeffizienten Design zu nutzen, die jahrzehntelang nur mit x86-Architekturen erreichbar waren</w:t>
      </w:r>
      <w:r w:rsidR="00291DE1" w:rsidRPr="00955D14">
        <w:rPr>
          <w:lang w:val="de-DE"/>
        </w:rPr>
        <w:t xml:space="preserve">“, sagt Konrad Garhammer, CTO &amp; COO von congatec. „Zum ersten Mal können Entwickler </w:t>
      </w:r>
      <w:r w:rsidR="002A70B9" w:rsidRPr="00955D14">
        <w:rPr>
          <w:lang w:val="de-DE"/>
        </w:rPr>
        <w:t>high-performance</w:t>
      </w:r>
      <w:r w:rsidR="00291DE1" w:rsidRPr="00955D14">
        <w:rPr>
          <w:lang w:val="de-DE"/>
        </w:rPr>
        <w:t xml:space="preserve"> Embedded-</w:t>
      </w:r>
      <w:r w:rsidR="002A70B9" w:rsidRPr="00955D14">
        <w:rPr>
          <w:lang w:val="de-DE"/>
        </w:rPr>
        <w:t xml:space="preserve">Applikationen mit </w:t>
      </w:r>
      <w:r w:rsidR="00291DE1" w:rsidRPr="00955D14">
        <w:rPr>
          <w:lang w:val="de-DE"/>
        </w:rPr>
        <w:t>herausragende</w:t>
      </w:r>
      <w:r w:rsidR="00673426" w:rsidRPr="00955D14">
        <w:rPr>
          <w:lang w:val="de-DE"/>
        </w:rPr>
        <w:t>r</w:t>
      </w:r>
      <w:r w:rsidR="00291DE1" w:rsidRPr="00955D14">
        <w:rPr>
          <w:lang w:val="de-DE"/>
        </w:rPr>
        <w:t xml:space="preserve"> Energieeffizienz und Leistung</w:t>
      </w:r>
      <w:r w:rsidR="002A70B9" w:rsidRPr="00955D14">
        <w:rPr>
          <w:lang w:val="de-DE"/>
        </w:rPr>
        <w:t>-</w:t>
      </w:r>
      <w:r w:rsidR="00291DE1" w:rsidRPr="00955D14">
        <w:rPr>
          <w:lang w:val="de-DE"/>
        </w:rPr>
        <w:t>pro</w:t>
      </w:r>
      <w:r w:rsidR="002A70B9" w:rsidRPr="00955D14">
        <w:rPr>
          <w:lang w:val="de-DE"/>
        </w:rPr>
        <w:t>-</w:t>
      </w:r>
      <w:r w:rsidR="00291DE1" w:rsidRPr="00955D14">
        <w:rPr>
          <w:lang w:val="de-DE"/>
        </w:rPr>
        <w:t xml:space="preserve">Watt </w:t>
      </w:r>
      <w:r w:rsidR="002A70B9" w:rsidRPr="00955D14">
        <w:rPr>
          <w:lang w:val="de-DE"/>
        </w:rPr>
        <w:t>auf einem nahezu kreditkartengroßen Formfaktor umsetzen</w:t>
      </w:r>
      <w:r w:rsidR="00291DE1" w:rsidRPr="00955D14">
        <w:rPr>
          <w:lang w:val="de-DE"/>
        </w:rPr>
        <w:t>.“</w:t>
      </w:r>
    </w:p>
    <w:p w14:paraId="03560249" w14:textId="77777777" w:rsidR="00C32CEA" w:rsidRPr="00DF3E2F" w:rsidRDefault="00C32CEA" w:rsidP="00041F0C">
      <w:pPr>
        <w:pStyle w:val="StandardWeb"/>
        <w:shd w:val="clear" w:color="auto" w:fill="FFFFFF"/>
        <w:spacing w:before="0" w:beforeAutospacing="0" w:after="0" w:afterAutospacing="0"/>
        <w:rPr>
          <w:lang w:val="de-DE"/>
        </w:rPr>
      </w:pPr>
    </w:p>
    <w:p w14:paraId="2CFC8A55" w14:textId="4A3A28B8" w:rsidR="00B14CB7" w:rsidRPr="00955D14" w:rsidRDefault="00B14CB7" w:rsidP="4443F071">
      <w:pPr>
        <w:pStyle w:val="StandardWeb"/>
        <w:shd w:val="clear" w:color="auto" w:fill="FFFFFF" w:themeFill="background1"/>
        <w:spacing w:before="0" w:beforeAutospacing="0" w:after="0" w:afterAutospacing="0"/>
        <w:rPr>
          <w:color w:val="000000"/>
          <w:lang w:val="de-DE"/>
        </w:rPr>
      </w:pPr>
      <w:r w:rsidRPr="00955D14">
        <w:rPr>
          <w:color w:val="000000" w:themeColor="text1"/>
          <w:lang w:val="de-DE"/>
        </w:rPr>
        <w:lastRenderedPageBreak/>
        <w:t xml:space="preserve">„Unsere Zusammenarbeit mit congatec vereint die </w:t>
      </w:r>
      <w:r w:rsidR="00FA38D7" w:rsidRPr="00955D14">
        <w:rPr>
          <w:color w:val="000000" w:themeColor="text1"/>
          <w:lang w:val="de-DE"/>
        </w:rPr>
        <w:t>herausragende</w:t>
      </w:r>
      <w:r w:rsidRPr="00955D14">
        <w:rPr>
          <w:color w:val="000000" w:themeColor="text1"/>
          <w:lang w:val="de-DE"/>
        </w:rPr>
        <w:t xml:space="preserve"> Rechenleistung, branchenführende Energieeffizienz, On-Device-</w:t>
      </w:r>
      <w:r w:rsidR="00153BB4" w:rsidRPr="00955D14">
        <w:rPr>
          <w:color w:val="000000" w:themeColor="text1"/>
          <w:lang w:val="de-DE"/>
        </w:rPr>
        <w:t>K</w:t>
      </w:r>
      <w:r w:rsidRPr="00955D14">
        <w:rPr>
          <w:color w:val="000000" w:themeColor="text1"/>
          <w:lang w:val="de-DE"/>
        </w:rPr>
        <w:t>I und die industrietauglichen Funktionen der Dragonwing</w:t>
      </w:r>
      <w:r w:rsidR="00845A7E" w:rsidRPr="00955D14">
        <w:rPr>
          <w:color w:val="000000" w:themeColor="text1"/>
          <w:lang w:val="de-DE"/>
        </w:rPr>
        <w:t xml:space="preserve"> </w:t>
      </w:r>
      <w:r w:rsidRPr="00955D14">
        <w:rPr>
          <w:color w:val="000000" w:themeColor="text1"/>
          <w:lang w:val="de-DE"/>
        </w:rPr>
        <w:t>IQ-X</w:t>
      </w:r>
      <w:r w:rsidR="00845A7E" w:rsidRPr="00955D14">
        <w:rPr>
          <w:color w:val="000000" w:themeColor="text1"/>
          <w:lang w:val="de-DE"/>
        </w:rPr>
        <w:t xml:space="preserve"> </w:t>
      </w:r>
      <w:r w:rsidRPr="00955D14">
        <w:rPr>
          <w:color w:val="000000" w:themeColor="text1"/>
          <w:lang w:val="de-DE"/>
        </w:rPr>
        <w:t>Serie mit der Flexibilität, Skalierbarkeit und Robustheit von congatecs COM-HPC-Mini-Portfolio und applikationsfertige</w:t>
      </w:r>
      <w:r w:rsidR="000031E6" w:rsidRPr="00955D14">
        <w:rPr>
          <w:color w:val="000000" w:themeColor="text1"/>
          <w:lang w:val="de-DE"/>
        </w:rPr>
        <w:t>m</w:t>
      </w:r>
      <w:r w:rsidRPr="00955D14">
        <w:rPr>
          <w:color w:val="000000" w:themeColor="text1"/>
          <w:lang w:val="de-DE"/>
        </w:rPr>
        <w:t xml:space="preserve"> Ökosystem“, erklärt Enrico Salvatori, Senior Vice President und President von Qualcomm Europe, Inc. „Gemeinsam treiben wir die Transformation intelligenter Industrien voran, indem wir </w:t>
      </w:r>
      <w:r w:rsidR="00153BB4" w:rsidRPr="00955D14">
        <w:rPr>
          <w:color w:val="000000" w:themeColor="text1"/>
          <w:lang w:val="de-DE"/>
        </w:rPr>
        <w:t>überlegene</w:t>
      </w:r>
      <w:r w:rsidRPr="00955D14">
        <w:rPr>
          <w:color w:val="000000" w:themeColor="text1"/>
          <w:lang w:val="de-DE"/>
        </w:rPr>
        <w:t xml:space="preserve"> Plattformen bereitstellen, </w:t>
      </w:r>
      <w:r w:rsidR="00E92ADD" w:rsidRPr="00955D14">
        <w:rPr>
          <w:color w:val="000000" w:themeColor="text1"/>
          <w:lang w:val="de-DE"/>
        </w:rPr>
        <w:t>mit denen</w:t>
      </w:r>
      <w:r w:rsidRPr="00955D14">
        <w:rPr>
          <w:color w:val="000000" w:themeColor="text1"/>
          <w:lang w:val="de-DE"/>
        </w:rPr>
        <w:t xml:space="preserve"> Kunden die nächste Generation </w:t>
      </w:r>
      <w:r w:rsidR="0030526D" w:rsidRPr="00955D14">
        <w:rPr>
          <w:color w:val="000000" w:themeColor="text1"/>
          <w:lang w:val="de-DE"/>
        </w:rPr>
        <w:t>industrieller</w:t>
      </w:r>
      <w:r w:rsidRPr="00955D14">
        <w:rPr>
          <w:color w:val="000000" w:themeColor="text1"/>
          <w:lang w:val="de-DE"/>
        </w:rPr>
        <w:t xml:space="preserve"> PCs entwickeln und Edge-</w:t>
      </w:r>
      <w:r w:rsidR="00E92ADD" w:rsidRPr="00955D14">
        <w:rPr>
          <w:color w:val="000000" w:themeColor="text1"/>
          <w:lang w:val="de-DE"/>
        </w:rPr>
        <w:t>K</w:t>
      </w:r>
      <w:r w:rsidRPr="00955D14">
        <w:rPr>
          <w:color w:val="000000" w:themeColor="text1"/>
          <w:lang w:val="de-DE"/>
        </w:rPr>
        <w:t>I-Applikationen in großem Maßstab ausrollen.“</w:t>
      </w:r>
    </w:p>
    <w:p w14:paraId="3579278A" w14:textId="77777777" w:rsidR="00C32CEA" w:rsidRPr="00955D14" w:rsidRDefault="00C32CEA" w:rsidP="00041F0C">
      <w:pPr>
        <w:pStyle w:val="StandardWeb"/>
        <w:shd w:val="clear" w:color="auto" w:fill="FFFFFF"/>
        <w:spacing w:before="0" w:beforeAutospacing="0" w:after="0" w:afterAutospacing="0"/>
        <w:rPr>
          <w:b/>
          <w:bCs/>
          <w:lang w:val="de-DE"/>
        </w:rPr>
      </w:pPr>
    </w:p>
    <w:p w14:paraId="425414B9" w14:textId="7BDF02BE" w:rsidR="00A97E71" w:rsidRPr="00955D14" w:rsidRDefault="006A2EA1" w:rsidP="00041F0C">
      <w:pPr>
        <w:pStyle w:val="StandardWeb"/>
        <w:shd w:val="clear" w:color="auto" w:fill="FFFFFF"/>
        <w:spacing w:before="0" w:beforeAutospacing="0" w:after="0" w:afterAutospacing="0"/>
        <w:rPr>
          <w:lang w:val="de-DE"/>
        </w:rPr>
      </w:pPr>
      <w:r w:rsidRPr="00955D14">
        <w:rPr>
          <w:b/>
          <w:bCs/>
          <w:lang w:val="de-DE"/>
        </w:rPr>
        <w:t>Über</w:t>
      </w:r>
      <w:r w:rsidR="00A97E71" w:rsidRPr="00955D14">
        <w:rPr>
          <w:b/>
          <w:bCs/>
          <w:lang w:val="de-DE"/>
        </w:rPr>
        <w:t xml:space="preserve"> COM-HPC Mini</w:t>
      </w:r>
    </w:p>
    <w:p w14:paraId="799E10F1" w14:textId="1B8C04B8" w:rsidR="00B91F7F" w:rsidRPr="00955D14" w:rsidRDefault="00A97E71" w:rsidP="4443F071">
      <w:pPr>
        <w:pStyle w:val="StandardWeb"/>
        <w:shd w:val="clear" w:color="auto" w:fill="FFFFFF" w:themeFill="background1"/>
        <w:spacing w:before="0" w:beforeAutospacing="0" w:after="0" w:afterAutospacing="0"/>
        <w:rPr>
          <w:lang w:val="de-DE"/>
        </w:rPr>
      </w:pPr>
      <w:r w:rsidRPr="00955D14">
        <w:rPr>
          <w:lang w:val="de-DE"/>
        </w:rPr>
        <w:t xml:space="preserve">congatecs COM-HPC Mini </w:t>
      </w:r>
      <w:r w:rsidR="00353FD6" w:rsidRPr="00955D14">
        <w:rPr>
          <w:lang w:val="de-DE"/>
        </w:rPr>
        <w:t xml:space="preserve">Ökosystem basiert auf der COM-HPC Spezifikation der </w:t>
      </w:r>
      <w:r w:rsidRPr="00955D14">
        <w:rPr>
          <w:lang w:val="de-DE"/>
        </w:rPr>
        <w:t xml:space="preserve">PCI Industrial Computer Manufacturers Group (PICMG). </w:t>
      </w:r>
      <w:r w:rsidR="00544F79" w:rsidRPr="00955D14">
        <w:rPr>
          <w:lang w:val="de-DE"/>
        </w:rPr>
        <w:t xml:space="preserve">Das mit nur </w:t>
      </w:r>
      <w:r w:rsidRPr="00955D14">
        <w:rPr>
          <w:lang w:val="de-DE"/>
        </w:rPr>
        <w:t>95 mm x 70 mm</w:t>
      </w:r>
      <w:r w:rsidR="00544F79" w:rsidRPr="00955D14">
        <w:rPr>
          <w:lang w:val="de-DE"/>
        </w:rPr>
        <w:t xml:space="preserve"> kompakte </w:t>
      </w:r>
      <w:r w:rsidRPr="00955D14">
        <w:rPr>
          <w:lang w:val="de-DE"/>
        </w:rPr>
        <w:t xml:space="preserve">COM-HPC Mini </w:t>
      </w:r>
      <w:r w:rsidR="00544F79" w:rsidRPr="00955D14">
        <w:rPr>
          <w:lang w:val="de-DE"/>
        </w:rPr>
        <w:t xml:space="preserve">Modul mit </w:t>
      </w:r>
      <w:r w:rsidRPr="00955D14">
        <w:rPr>
          <w:lang w:val="de-DE"/>
        </w:rPr>
        <w:t xml:space="preserve">Qualcomm </w:t>
      </w:r>
      <w:r w:rsidR="001D5457" w:rsidRPr="00955D14">
        <w:rPr>
          <w:color w:val="000000" w:themeColor="text1"/>
          <w:lang w:val="de-DE"/>
        </w:rPr>
        <w:t xml:space="preserve">Dragonwing IQ-X Series Prozessoren </w:t>
      </w:r>
      <w:r w:rsidR="00544F79" w:rsidRPr="00955D14">
        <w:rPr>
          <w:lang w:val="de-DE"/>
        </w:rPr>
        <w:t xml:space="preserve">zielt auf den wachsenden Bedarf an high-performance </w:t>
      </w:r>
      <w:r w:rsidR="000C5D1C" w:rsidRPr="00955D14">
        <w:rPr>
          <w:lang w:val="de-DE"/>
        </w:rPr>
        <w:t xml:space="preserve">Edge-AI-Applikationen </w:t>
      </w:r>
      <w:r w:rsidR="00544F79" w:rsidRPr="00955D14">
        <w:rPr>
          <w:lang w:val="de-DE"/>
        </w:rPr>
        <w:t xml:space="preserve">in Märkten wie Sicherheit, Retail/POS, Robotik, Medical und Automatisierung. </w:t>
      </w:r>
      <w:r w:rsidR="00B91F7F" w:rsidRPr="00955D14">
        <w:rPr>
          <w:lang w:val="de-DE"/>
        </w:rPr>
        <w:t xml:space="preserve">Mit seiner erhöhten Performancedichte ist das COM-HPC Mini Ökosystem von congatec ideal für alle größen-, gewichts- und stromoptimierten (SWaP) Applikationen, die auf situative Wahrnehmung sowie lokale Edge-AI angewiesen sind. </w:t>
      </w:r>
      <w:r w:rsidR="00546707" w:rsidRPr="00955D14">
        <w:rPr>
          <w:lang w:val="de-DE"/>
        </w:rPr>
        <w:t xml:space="preserve">Davon profitieren auch </w:t>
      </w:r>
      <w:r w:rsidR="00B91F7F" w:rsidRPr="00955D14">
        <w:rPr>
          <w:lang w:val="de-DE"/>
        </w:rPr>
        <w:t>mobile Medizingeräte, Security-Kiosks, Self-Checkout-Systeme, autonome Fahrzeuge sowie Anwendungen, die große Sprachmodelle lokal ausführen.</w:t>
      </w:r>
    </w:p>
    <w:p w14:paraId="276021EE" w14:textId="77777777" w:rsidR="00041F0C" w:rsidRPr="00955D14" w:rsidRDefault="00041F0C" w:rsidP="00041F0C">
      <w:pPr>
        <w:pStyle w:val="StandardWeb"/>
        <w:shd w:val="clear" w:color="auto" w:fill="FFFFFF"/>
        <w:spacing w:before="0" w:beforeAutospacing="0" w:after="0" w:afterAutospacing="0"/>
        <w:rPr>
          <w:lang w:val="de-DE"/>
        </w:rPr>
      </w:pPr>
    </w:p>
    <w:p w14:paraId="45E22696" w14:textId="617B8E24" w:rsidR="00A97E71" w:rsidRPr="00955D14" w:rsidRDefault="001973A9" w:rsidP="00041F0C">
      <w:pPr>
        <w:pStyle w:val="StandardWeb"/>
        <w:shd w:val="clear" w:color="auto" w:fill="FFFFFF"/>
        <w:spacing w:before="0" w:beforeAutospacing="0" w:after="0" w:afterAutospacing="0"/>
        <w:rPr>
          <w:lang w:val="de-DE"/>
        </w:rPr>
      </w:pPr>
      <w:r w:rsidRPr="00955D14">
        <w:rPr>
          <w:color w:val="000000"/>
          <w:lang w:val="de-DE"/>
        </w:rPr>
        <w:t>Weitere Informationen finden Sie unter</w:t>
      </w:r>
      <w:r w:rsidR="00A97E71" w:rsidRPr="00955D14">
        <w:rPr>
          <w:color w:val="000000"/>
          <w:lang w:val="de-DE"/>
        </w:rPr>
        <w:t>:</w:t>
      </w:r>
      <w:r w:rsidR="00A97E71" w:rsidRPr="00955D14">
        <w:rPr>
          <w:rStyle w:val="apple-converted-space"/>
          <w:rFonts w:eastAsiaTheme="majorEastAsia"/>
          <w:color w:val="000000"/>
          <w:lang w:val="de-DE"/>
        </w:rPr>
        <w:t> </w:t>
      </w:r>
      <w:hyperlink r:id="rId18" w:history="1">
        <w:r w:rsidR="003557FA" w:rsidRPr="00955D14">
          <w:rPr>
            <w:rStyle w:val="Hyperlink"/>
            <w:lang w:val="de-DE"/>
          </w:rPr>
          <w:t>https://www.congatec.com/de/ecosystems/com-hpc-mini-ecosystem/</w:t>
        </w:r>
      </w:hyperlink>
      <w:r w:rsidR="003557FA" w:rsidRPr="00955D14">
        <w:rPr>
          <w:lang w:val="de-DE"/>
        </w:rPr>
        <w:t xml:space="preserve"> </w:t>
      </w:r>
    </w:p>
    <w:p w14:paraId="415F601D" w14:textId="77777777" w:rsidR="00D7334D" w:rsidRPr="00955D14" w:rsidRDefault="00D7334D" w:rsidP="00041F0C">
      <w:pPr>
        <w:rPr>
          <w:rFonts w:cs="Arial"/>
        </w:rPr>
      </w:pPr>
    </w:p>
    <w:p w14:paraId="538209BF" w14:textId="77777777" w:rsidR="00467E79" w:rsidRPr="00955D14" w:rsidRDefault="00467E79" w:rsidP="00041F0C">
      <w:pPr>
        <w:pStyle w:val="Standard1"/>
        <w:spacing w:line="360" w:lineRule="auto"/>
        <w:jc w:val="center"/>
        <w:rPr>
          <w:rFonts w:ascii="Arial" w:hAnsi="Arial" w:cs="Arial"/>
          <w:sz w:val="16"/>
          <w:szCs w:val="16"/>
        </w:rPr>
      </w:pPr>
      <w:r w:rsidRPr="00955D14">
        <w:rPr>
          <w:rFonts w:ascii="Arial" w:hAnsi="Arial" w:cs="Arial"/>
          <w:sz w:val="16"/>
          <w:szCs w:val="16"/>
        </w:rPr>
        <w:t>* * *</w:t>
      </w:r>
    </w:p>
    <w:p w14:paraId="3EBCB84F" w14:textId="77777777" w:rsidR="00467E79" w:rsidRPr="00955D14" w:rsidRDefault="00467E79" w:rsidP="00041F0C">
      <w:pPr>
        <w:pStyle w:val="Standard1"/>
        <w:ind w:right="283"/>
        <w:rPr>
          <w:rFonts w:ascii="Arial" w:hAnsi="Arial" w:cs="Arial"/>
          <w:b/>
          <w:bCs/>
          <w:sz w:val="16"/>
          <w:szCs w:val="16"/>
        </w:rPr>
      </w:pPr>
    </w:p>
    <w:p w14:paraId="7B722753" w14:textId="77777777" w:rsidR="00745218" w:rsidRPr="00955D14" w:rsidRDefault="00745218" w:rsidP="00041F0C">
      <w:r w:rsidRPr="00955D14">
        <w:rPr>
          <w:rFonts w:eastAsia="Arial" w:cs="Arial"/>
          <w:b/>
          <w:bCs/>
          <w:sz w:val="18"/>
          <w:szCs w:val="18"/>
        </w:rPr>
        <w:t>Über congatec</w:t>
      </w:r>
    </w:p>
    <w:p w14:paraId="655B9D60" w14:textId="77777777" w:rsidR="00745218" w:rsidRPr="00955D14" w:rsidRDefault="00745218" w:rsidP="00041F0C">
      <w:r w:rsidRPr="00955D14">
        <w:rPr>
          <w:rFonts w:eastAsia="Arial" w:cs="Arial"/>
          <w:sz w:val="18"/>
          <w:szCs w:val="18"/>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w:t>
      </w:r>
      <w:r w:rsidRPr="00955D14">
        <w:rPr>
          <w:rFonts w:eastAsia="Arial" w:cs="Arial"/>
          <w:sz w:val="18"/>
          <w:szCs w:val="18"/>
        </w:rPr>
        <w:lastRenderedPageBreak/>
        <w:t xml:space="preserve">die Finanzierungs- und M&amp;A Erfahrung, um diese expandierenden Marktchancen zu nutzen. Weitere Informationen finden Sie unter </w:t>
      </w:r>
      <w:hyperlink r:id="rId19">
        <w:r w:rsidRPr="00955D14">
          <w:rPr>
            <w:rStyle w:val="Hyperlink"/>
            <w:rFonts w:eastAsia="Arial" w:cs="Arial"/>
            <w:sz w:val="18"/>
            <w:szCs w:val="18"/>
          </w:rPr>
          <w:t>www.congatec.de</w:t>
        </w:r>
      </w:hyperlink>
      <w:r w:rsidRPr="00955D14">
        <w:rPr>
          <w:rFonts w:eastAsia="Arial" w:cs="Arial"/>
          <w:sz w:val="18"/>
          <w:szCs w:val="18"/>
        </w:rPr>
        <w:t xml:space="preserve"> oder auf </w:t>
      </w:r>
      <w:hyperlink r:id="rId20">
        <w:r w:rsidRPr="00955D14">
          <w:rPr>
            <w:rStyle w:val="Hyperlink"/>
            <w:rFonts w:eastAsia="Arial" w:cs="Arial"/>
            <w:sz w:val="18"/>
            <w:szCs w:val="18"/>
          </w:rPr>
          <w:t>LinkedIn</w:t>
        </w:r>
      </w:hyperlink>
      <w:r w:rsidRPr="00955D14">
        <w:rPr>
          <w:rFonts w:eastAsia="Arial" w:cs="Arial"/>
          <w:sz w:val="18"/>
          <w:szCs w:val="18"/>
        </w:rPr>
        <w:t xml:space="preserve"> und </w:t>
      </w:r>
      <w:hyperlink r:id="rId21">
        <w:r w:rsidRPr="00955D14">
          <w:rPr>
            <w:rStyle w:val="Hyperlink"/>
            <w:rFonts w:eastAsia="Arial" w:cs="Arial"/>
            <w:sz w:val="18"/>
            <w:szCs w:val="18"/>
          </w:rPr>
          <w:t>YouTube</w:t>
        </w:r>
      </w:hyperlink>
      <w:r w:rsidRPr="00955D14">
        <w:rPr>
          <w:rFonts w:eastAsia="Arial" w:cs="Arial"/>
          <w:sz w:val="18"/>
          <w:szCs w:val="18"/>
        </w:rPr>
        <w:t>.</w:t>
      </w:r>
    </w:p>
    <w:p w14:paraId="53753EAB" w14:textId="77777777" w:rsidR="00264B1C" w:rsidRPr="00955D14" w:rsidRDefault="00264B1C" w:rsidP="00041F0C">
      <w:pPr>
        <w:rPr>
          <w:rFonts w:eastAsia="Arial" w:cs="Arial"/>
          <w:sz w:val="16"/>
          <w:szCs w:val="16"/>
        </w:rPr>
      </w:pPr>
    </w:p>
    <w:p w14:paraId="4E38B720" w14:textId="62D61952" w:rsidR="00D7334D" w:rsidRPr="00955D14" w:rsidRDefault="00D7334D" w:rsidP="00041F0C">
      <w:pPr>
        <w:rPr>
          <w:rFonts w:eastAsia="Arial" w:cs="Arial"/>
          <w:i/>
          <w:sz w:val="16"/>
          <w:szCs w:val="16"/>
        </w:rPr>
      </w:pPr>
      <w:r w:rsidRPr="00955D14">
        <w:rPr>
          <w:rFonts w:eastAsia="Arial" w:cs="Arial"/>
          <w:i/>
          <w:sz w:val="16"/>
          <w:szCs w:val="16"/>
        </w:rPr>
        <w:t xml:space="preserve">Qualcomm-Markenprodukte sind Produkte von Qualcomm Technologies, Inc. und/oder deren Tochtergesellschaften. Qualcomm-Patente werden von Qualcomm Incorporated lizenziert.  </w:t>
      </w:r>
    </w:p>
    <w:p w14:paraId="465F7BEA" w14:textId="77777777" w:rsidR="00C25460" w:rsidRDefault="00C25460" w:rsidP="00041F0C">
      <w:pPr>
        <w:pStyle w:val="Standard1"/>
        <w:snapToGrid w:val="0"/>
        <w:spacing w:line="276" w:lineRule="auto"/>
        <w:rPr>
          <w:rFonts w:ascii="Arial" w:hAnsi="Arial" w:cs="Arial"/>
          <w:b/>
          <w:sz w:val="22"/>
          <w:szCs w:val="22"/>
        </w:rPr>
      </w:pPr>
    </w:p>
    <w:p w14:paraId="4BAD84BE" w14:textId="29AF5513" w:rsidR="00294514" w:rsidRPr="00264B1C" w:rsidRDefault="00294514" w:rsidP="00041F0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041F0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041F0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041F0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0C1EEF" w:rsidRDefault="00294514" w:rsidP="00041F0C">
      <w:pPr>
        <w:pStyle w:val="Standard1"/>
        <w:rPr>
          <w:rStyle w:val="Hyperlink"/>
          <w:rFonts w:ascii="Arial" w:hAnsi="Arial" w:cs="Arial"/>
          <w:sz w:val="22"/>
          <w:szCs w:val="22"/>
        </w:rPr>
      </w:pPr>
      <w:hyperlink r:id="rId22" w:history="1">
        <w:r w:rsidRPr="000C1EEF">
          <w:rPr>
            <w:rStyle w:val="Hyperlink"/>
            <w:rFonts w:ascii="Arial" w:hAnsi="Arial" w:cs="Arial"/>
            <w:sz w:val="22"/>
            <w:szCs w:val="22"/>
          </w:rPr>
          <w:t>www.congatec.com</w:t>
        </w:r>
      </w:hyperlink>
    </w:p>
    <w:p w14:paraId="6DC199A3" w14:textId="77777777" w:rsidR="00294514" w:rsidRPr="000C1EEF" w:rsidRDefault="00294514" w:rsidP="00041F0C">
      <w:pPr>
        <w:pStyle w:val="Standard1"/>
        <w:snapToGrid w:val="0"/>
        <w:rPr>
          <w:rFonts w:ascii="Arial" w:hAnsi="Arial" w:cs="Arial"/>
          <w:b/>
          <w:sz w:val="22"/>
          <w:szCs w:val="22"/>
        </w:rPr>
      </w:pPr>
    </w:p>
    <w:p w14:paraId="2D7AE1CC" w14:textId="7CD0B520" w:rsidR="00294514" w:rsidRPr="00745218" w:rsidRDefault="00294514" w:rsidP="00041F0C">
      <w:pPr>
        <w:pStyle w:val="Standard1"/>
        <w:snapToGrid w:val="0"/>
        <w:rPr>
          <w:rFonts w:ascii="Arial" w:hAnsi="Arial" w:cs="Arial"/>
          <w:b/>
          <w:sz w:val="22"/>
          <w:szCs w:val="22"/>
          <w:lang w:val="en-US"/>
        </w:rPr>
      </w:pPr>
      <w:r w:rsidRPr="00745218">
        <w:rPr>
          <w:rFonts w:ascii="Arial" w:hAnsi="Arial" w:cs="Arial"/>
          <w:b/>
          <w:sz w:val="22"/>
          <w:szCs w:val="22"/>
          <w:lang w:val="en-US"/>
        </w:rPr>
        <w:t>Pressekontakt congatec:</w:t>
      </w:r>
    </w:p>
    <w:p w14:paraId="5E350B46" w14:textId="77777777" w:rsidR="00294514" w:rsidRPr="00745218" w:rsidRDefault="00294514" w:rsidP="00041F0C">
      <w:pPr>
        <w:pStyle w:val="Standard1"/>
        <w:snapToGrid w:val="0"/>
        <w:rPr>
          <w:rFonts w:ascii="Arial" w:hAnsi="Arial" w:cs="Arial"/>
          <w:sz w:val="22"/>
          <w:szCs w:val="22"/>
          <w:u w:val="single"/>
          <w:lang w:val="en-US"/>
        </w:rPr>
      </w:pPr>
      <w:r w:rsidRPr="00745218">
        <w:rPr>
          <w:rFonts w:ascii="Arial" w:hAnsi="Arial" w:cs="Arial"/>
          <w:sz w:val="22"/>
          <w:szCs w:val="22"/>
          <w:lang w:val="en-US"/>
        </w:rPr>
        <w:t>congatec</w:t>
      </w:r>
    </w:p>
    <w:p w14:paraId="33FE772A" w14:textId="77777777" w:rsidR="00294514" w:rsidRPr="00745218" w:rsidRDefault="00294514" w:rsidP="00041F0C">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442E4DF7" w14:textId="77777777" w:rsidR="00294514" w:rsidRPr="007451D4" w:rsidRDefault="00294514" w:rsidP="00041F0C">
      <w:pPr>
        <w:pStyle w:val="Standard1"/>
        <w:snapToGrid w:val="0"/>
        <w:rPr>
          <w:rFonts w:ascii="Arial" w:hAnsi="Arial" w:cs="Arial"/>
          <w:b/>
          <w:sz w:val="22"/>
          <w:szCs w:val="22"/>
          <w:u w:val="single"/>
        </w:rPr>
      </w:pPr>
      <w:r w:rsidRPr="007451D4">
        <w:rPr>
          <w:rFonts w:ascii="Arial" w:hAnsi="Arial" w:cs="Arial"/>
          <w:sz w:val="22"/>
          <w:szCs w:val="22"/>
        </w:rPr>
        <w:t>Telefon: +49-991-2700-2822</w:t>
      </w:r>
    </w:p>
    <w:p w14:paraId="3F71D00D" w14:textId="77777777" w:rsidR="00294514" w:rsidRPr="007451D4" w:rsidRDefault="00294514" w:rsidP="00041F0C">
      <w:pPr>
        <w:pStyle w:val="Standard1"/>
        <w:snapToGrid w:val="0"/>
        <w:rPr>
          <w:rStyle w:val="Hyperlink"/>
          <w:rFonts w:ascii="Arial" w:hAnsi="Arial" w:cs="Arial"/>
          <w:sz w:val="22"/>
          <w:szCs w:val="22"/>
        </w:rPr>
      </w:pPr>
      <w:r w:rsidRPr="007451D4">
        <w:rPr>
          <w:rStyle w:val="Hyperlink"/>
          <w:rFonts w:ascii="Arial" w:hAnsi="Arial" w:cs="Arial"/>
          <w:sz w:val="22"/>
          <w:szCs w:val="22"/>
        </w:rPr>
        <w:t xml:space="preserve">christof.wilde@congatec.com </w:t>
      </w:r>
    </w:p>
    <w:p w14:paraId="217C028F" w14:textId="54A94534" w:rsidR="00294514" w:rsidRPr="007451D4" w:rsidRDefault="00294514" w:rsidP="00041F0C">
      <w:pPr>
        <w:pStyle w:val="Standard1"/>
        <w:snapToGrid w:val="0"/>
        <w:rPr>
          <w:rStyle w:val="Hyperlink"/>
          <w:rFonts w:ascii="Arial" w:hAnsi="Arial" w:cs="Arial"/>
          <w:sz w:val="22"/>
          <w:szCs w:val="22"/>
        </w:rPr>
      </w:pPr>
    </w:p>
    <w:p w14:paraId="4CCBC859" w14:textId="77777777" w:rsidR="00294514" w:rsidRPr="00264B1C" w:rsidRDefault="00294514" w:rsidP="00041F0C">
      <w:pPr>
        <w:pStyle w:val="Standard1"/>
        <w:rPr>
          <w:rFonts w:ascii="Arial" w:eastAsia="Times New Roman" w:hAnsi="Arial" w:cs="Arial"/>
          <w:sz w:val="22"/>
          <w:szCs w:val="22"/>
        </w:rPr>
      </w:pPr>
    </w:p>
    <w:p w14:paraId="5DF4BEC3" w14:textId="13F89224" w:rsidR="00294514" w:rsidRPr="009C4B5D" w:rsidRDefault="00294514" w:rsidP="00041F0C">
      <w:pPr>
        <w:pStyle w:val="Standard1"/>
        <w:rPr>
          <w:rFonts w:ascii="Arial" w:hAnsi="Arial" w:cs="Arial"/>
          <w:sz w:val="22"/>
          <w:szCs w:val="22"/>
          <w:lang w:val="en-US"/>
        </w:rPr>
      </w:pPr>
    </w:p>
    <w:sectPr w:rsidR="00294514" w:rsidRPr="009C4B5D" w:rsidSect="009C4B5D">
      <w:headerReference w:type="default" r:id="rId23"/>
      <w:footerReference w:type="default" r:id="rId24"/>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f Wilde [2]" w:date="2025-11-17T14:19:00Z" w:initials="CW">
    <w:p w14:paraId="2F006397" w14:textId="77777777" w:rsidR="0068003C" w:rsidRDefault="0068003C" w:rsidP="0068003C">
      <w:pPr>
        <w:pStyle w:val="Kommentartext"/>
      </w:pPr>
      <w:r>
        <w:rPr>
          <w:rStyle w:val="Kommentarzeichen"/>
        </w:rPr>
        <w:annotationRef/>
      </w:r>
      <w:r>
        <w:t>Preliminary Image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0063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5D4875" w16cex:dateUtc="2025-11-17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006397" w16cid:durableId="4C5D4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1CEA" w14:textId="77777777" w:rsidR="00680509" w:rsidRDefault="00680509" w:rsidP="00680509">
      <w:pPr>
        <w:spacing w:line="240" w:lineRule="auto"/>
      </w:pPr>
      <w:r>
        <w:separator/>
      </w:r>
    </w:p>
  </w:endnote>
  <w:endnote w:type="continuationSeparator" w:id="0">
    <w:p w14:paraId="0B7B4C3B" w14:textId="77777777" w:rsidR="00680509" w:rsidRDefault="00680509" w:rsidP="00680509">
      <w:pPr>
        <w:spacing w:line="240" w:lineRule="auto"/>
      </w:pPr>
      <w:r>
        <w:continuationSeparator/>
      </w:r>
    </w:p>
  </w:endnote>
  <w:endnote w:type="continuationNotice" w:id="1">
    <w:p w14:paraId="641042D0" w14:textId="77777777" w:rsidR="00CD3205" w:rsidRDefault="00CD3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63FB928E"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D658" w14:textId="77777777" w:rsidR="00680509" w:rsidRDefault="00680509" w:rsidP="00680509">
      <w:pPr>
        <w:spacing w:line="240" w:lineRule="auto"/>
      </w:pPr>
      <w:r>
        <w:separator/>
      </w:r>
    </w:p>
  </w:footnote>
  <w:footnote w:type="continuationSeparator" w:id="0">
    <w:p w14:paraId="13F4FC84" w14:textId="77777777" w:rsidR="00680509" w:rsidRDefault="00680509" w:rsidP="00680509">
      <w:pPr>
        <w:spacing w:line="240" w:lineRule="auto"/>
      </w:pPr>
      <w:r>
        <w:continuationSeparator/>
      </w:r>
    </w:p>
  </w:footnote>
  <w:footnote w:type="continuationNotice" w:id="1">
    <w:p w14:paraId="563E50DF" w14:textId="77777777" w:rsidR="00CD3205" w:rsidRDefault="00CD32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f Wilde [2]">
    <w15:presenceInfo w15:providerId="AD" w15:userId="S::Christof.Wilde@congatec.com::f892e374-caf0-48db-9a04-d72979ae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1E6"/>
    <w:rsid w:val="00003D81"/>
    <w:rsid w:val="00011EE7"/>
    <w:rsid w:val="00012E82"/>
    <w:rsid w:val="00015A55"/>
    <w:rsid w:val="000219E5"/>
    <w:rsid w:val="00041F0C"/>
    <w:rsid w:val="0005565F"/>
    <w:rsid w:val="00061C51"/>
    <w:rsid w:val="000936D2"/>
    <w:rsid w:val="000B5153"/>
    <w:rsid w:val="000C1EEF"/>
    <w:rsid w:val="000C5D1C"/>
    <w:rsid w:val="00112280"/>
    <w:rsid w:val="001262A7"/>
    <w:rsid w:val="00126581"/>
    <w:rsid w:val="00151108"/>
    <w:rsid w:val="00153BB4"/>
    <w:rsid w:val="00160446"/>
    <w:rsid w:val="00165526"/>
    <w:rsid w:val="00190D9C"/>
    <w:rsid w:val="001973A9"/>
    <w:rsid w:val="001B38FD"/>
    <w:rsid w:val="001C68C5"/>
    <w:rsid w:val="001D5457"/>
    <w:rsid w:val="00217473"/>
    <w:rsid w:val="00264B1C"/>
    <w:rsid w:val="00264F42"/>
    <w:rsid w:val="00291DE1"/>
    <w:rsid w:val="00294514"/>
    <w:rsid w:val="002A70B9"/>
    <w:rsid w:val="002C5805"/>
    <w:rsid w:val="0030526D"/>
    <w:rsid w:val="00315B89"/>
    <w:rsid w:val="0032083E"/>
    <w:rsid w:val="00324E28"/>
    <w:rsid w:val="003434DA"/>
    <w:rsid w:val="00353FD6"/>
    <w:rsid w:val="003557FA"/>
    <w:rsid w:val="00363127"/>
    <w:rsid w:val="00364232"/>
    <w:rsid w:val="003645FB"/>
    <w:rsid w:val="00367F0C"/>
    <w:rsid w:val="003817B7"/>
    <w:rsid w:val="0039015B"/>
    <w:rsid w:val="003B61AF"/>
    <w:rsid w:val="00413749"/>
    <w:rsid w:val="00440E69"/>
    <w:rsid w:val="00461540"/>
    <w:rsid w:val="00467E79"/>
    <w:rsid w:val="00496F60"/>
    <w:rsid w:val="004D74E3"/>
    <w:rsid w:val="005322C6"/>
    <w:rsid w:val="00544F79"/>
    <w:rsid w:val="00546707"/>
    <w:rsid w:val="00565FF9"/>
    <w:rsid w:val="00580984"/>
    <w:rsid w:val="005875D4"/>
    <w:rsid w:val="00587B69"/>
    <w:rsid w:val="005C2300"/>
    <w:rsid w:val="006005CC"/>
    <w:rsid w:val="0064222F"/>
    <w:rsid w:val="00673426"/>
    <w:rsid w:val="006743A5"/>
    <w:rsid w:val="0068003C"/>
    <w:rsid w:val="00680509"/>
    <w:rsid w:val="006A2EA1"/>
    <w:rsid w:val="006A76A6"/>
    <w:rsid w:val="006B42B6"/>
    <w:rsid w:val="006B627C"/>
    <w:rsid w:val="006F1483"/>
    <w:rsid w:val="00727307"/>
    <w:rsid w:val="007451D4"/>
    <w:rsid w:val="00745218"/>
    <w:rsid w:val="007672A1"/>
    <w:rsid w:val="007F236F"/>
    <w:rsid w:val="00835D39"/>
    <w:rsid w:val="00845A7E"/>
    <w:rsid w:val="00845CC4"/>
    <w:rsid w:val="00847DCB"/>
    <w:rsid w:val="0087631E"/>
    <w:rsid w:val="009525F0"/>
    <w:rsid w:val="00955D14"/>
    <w:rsid w:val="00963F09"/>
    <w:rsid w:val="0098453A"/>
    <w:rsid w:val="00994A16"/>
    <w:rsid w:val="009A6FD3"/>
    <w:rsid w:val="009C4B5D"/>
    <w:rsid w:val="009D0A2B"/>
    <w:rsid w:val="009E25C2"/>
    <w:rsid w:val="00A13D03"/>
    <w:rsid w:val="00A44CB3"/>
    <w:rsid w:val="00A60010"/>
    <w:rsid w:val="00A74067"/>
    <w:rsid w:val="00A97E71"/>
    <w:rsid w:val="00AB6D6A"/>
    <w:rsid w:val="00AC347F"/>
    <w:rsid w:val="00AF372B"/>
    <w:rsid w:val="00B14CB7"/>
    <w:rsid w:val="00B23822"/>
    <w:rsid w:val="00B310F7"/>
    <w:rsid w:val="00B54076"/>
    <w:rsid w:val="00B54193"/>
    <w:rsid w:val="00B66036"/>
    <w:rsid w:val="00B769E7"/>
    <w:rsid w:val="00B81D53"/>
    <w:rsid w:val="00B91F7F"/>
    <w:rsid w:val="00BE7ECA"/>
    <w:rsid w:val="00BF143C"/>
    <w:rsid w:val="00C2491C"/>
    <w:rsid w:val="00C25460"/>
    <w:rsid w:val="00C257AF"/>
    <w:rsid w:val="00C32CEA"/>
    <w:rsid w:val="00C56015"/>
    <w:rsid w:val="00C61367"/>
    <w:rsid w:val="00C63B41"/>
    <w:rsid w:val="00C64155"/>
    <w:rsid w:val="00C745BB"/>
    <w:rsid w:val="00C87B55"/>
    <w:rsid w:val="00CD3205"/>
    <w:rsid w:val="00D165F3"/>
    <w:rsid w:val="00D7334D"/>
    <w:rsid w:val="00D74410"/>
    <w:rsid w:val="00DD5D58"/>
    <w:rsid w:val="00DD6073"/>
    <w:rsid w:val="00DF3E2F"/>
    <w:rsid w:val="00E069EB"/>
    <w:rsid w:val="00E147FF"/>
    <w:rsid w:val="00E318BB"/>
    <w:rsid w:val="00E40587"/>
    <w:rsid w:val="00E54CB1"/>
    <w:rsid w:val="00E574B4"/>
    <w:rsid w:val="00E76612"/>
    <w:rsid w:val="00E92ADD"/>
    <w:rsid w:val="00E94D88"/>
    <w:rsid w:val="00EC46ED"/>
    <w:rsid w:val="00ED62ED"/>
    <w:rsid w:val="00ED6EAB"/>
    <w:rsid w:val="00EE0D2E"/>
    <w:rsid w:val="00F015CF"/>
    <w:rsid w:val="00F02286"/>
    <w:rsid w:val="00F15830"/>
    <w:rsid w:val="00F205D4"/>
    <w:rsid w:val="00F226C5"/>
    <w:rsid w:val="00F85FD0"/>
    <w:rsid w:val="00F92DD4"/>
    <w:rsid w:val="00F959E4"/>
    <w:rsid w:val="00FA38D7"/>
    <w:rsid w:val="00FC3D14"/>
    <w:rsid w:val="00FF75BA"/>
    <w:rsid w:val="0215001E"/>
    <w:rsid w:val="1AB90BB7"/>
    <w:rsid w:val="242D1BED"/>
    <w:rsid w:val="27322D3C"/>
    <w:rsid w:val="32B0E51B"/>
    <w:rsid w:val="354BC183"/>
    <w:rsid w:val="393575B1"/>
    <w:rsid w:val="4443F071"/>
    <w:rsid w:val="46E5E262"/>
    <w:rsid w:val="5DDBD1F6"/>
    <w:rsid w:val="5F3E7085"/>
    <w:rsid w:val="68B6000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unhideWhenUsed/>
    <w:rsid w:val="00A97E71"/>
    <w:pPr>
      <w:suppressAutoHyphens w:val="0"/>
      <w:spacing w:before="100" w:beforeAutospacing="1" w:after="100" w:afterAutospacing="1"/>
    </w:pPr>
    <w:rPr>
      <w:rFonts w:cs="Arial"/>
      <w:kern w:val="0"/>
      <w:szCs w:val="22"/>
      <w:lang w:val="en-US" w:eastAsia="de-DE"/>
    </w:rPr>
  </w:style>
  <w:style w:type="character" w:customStyle="1" w:styleId="apple-converted-space">
    <w:name w:val="apple-converted-space"/>
    <w:basedOn w:val="Absatz-Standardschriftart"/>
    <w:rsid w:val="00A97E71"/>
  </w:style>
  <w:style w:type="character" w:styleId="BesuchterLink">
    <w:name w:val="FollowedHyperlink"/>
    <w:basedOn w:val="Absatz-Standardschriftart"/>
    <w:uiPriority w:val="99"/>
    <w:semiHidden/>
    <w:unhideWhenUsed/>
    <w:rsid w:val="001973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www.congatec.com/de/ecosystems/com-hpc-mini-ecosyste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youtube.com/congatecAE" TargetMode="Externa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s://www.qualcomm.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ongatec.com/en/" TargetMode="External"/><Relationship Id="rId20" Type="http://schemas.openxmlformats.org/officeDocument/2006/relationships/hyperlink" Target="https://www.linkedin.com/company/congat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congatec.com/de/"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 Id="rId22" Type="http://schemas.openxmlformats.org/officeDocument/2006/relationships/hyperlink" Target="http://www.congatec.com"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9d916a5691674c7a958211374913688">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5404a20c126bdd09beea7eb330f183fc"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 ds:uri="6f574eff-12ef-45bc-bac1-2789c6abb9af"/>
    <ds:schemaRef ds:uri="59f4954d-7dba-4ed8-8f82-27a05183eb20"/>
  </ds:schemaRefs>
</ds:datastoreItem>
</file>

<file path=customXml/itemProps3.xml><?xml version="1.0" encoding="utf-8"?>
<ds:datastoreItem xmlns:ds="http://schemas.openxmlformats.org/officeDocument/2006/customXml" ds:itemID="{8D0BB3DC-FBA3-4D9E-8987-1EC748335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4717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82</cp:revision>
  <dcterms:created xsi:type="dcterms:W3CDTF">2025-01-30T09:51:00Z</dcterms:created>
  <dcterms:modified xsi:type="dcterms:W3CDTF">2025-11-18T07:27:00Z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2025-11-17T12:04:12Z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f6f6bcdc-e777-4a7b-976d-1afc038037c6</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