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5"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Application-ready software building blocks for simple and fast IoT connectivity</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congatec launches aReady.IOT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715000" cy="3810000"/>
            <wp:effectExtent b="0" l="0" r="0" t="0"/>
            <wp:docPr descr="Ein Bild, das Im Haus, Waage, Miniatur enthält.&#10;&#10;Automatisch generierte Beschreibung" id="1036" name="image2.jpg"/>
            <a:graphic>
              <a:graphicData uri="http://schemas.openxmlformats.org/drawingml/2006/picture">
                <pic:pic>
                  <pic:nvPicPr>
                    <pic:cNvPr descr="Ein Bild, das Im Haus, Waage, Miniatur enthält.&#10;&#10;Automatisch generierte Beschreibung" id="0" name="image2.jp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Germany, February 5, 2025</w:t>
      </w:r>
      <w:r w:rsidDel="00000000" w:rsidR="00000000" w:rsidRPr="00000000">
        <w:rPr>
          <w:rtl w:val="0"/>
        </w:rPr>
        <w:t xml:space="preserve"> * * * congatec – a leading provider of embedded and edge computing technology – is expanding the application-ready functionality of aReady.COM with aReady.IOT, introducing powerful software building blocks for secure IoT connectivity from the Computer-on-Module (COM) to the cloud. The aim is to further simplify the use of modern embedded applications and accelerate innovation. With aReady.IOT, users can focus entirely on their core competencies while congatec reduces the complexity of application development, enabling seamless communication and data transfer between different systems and devices. congatec delivers the required software building blocks in the desired combinations, ready for immediate use.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preconfigured building blocks enable communication with machines, systems, devices, and even sensors via protocols such as OPCUA, MQTT, and REST. Users can leverage them for data acquisition, remote monitoring, maintenance and management (e.g., OEE – Overall Equipment Efficiency), as well as predictive maintenance. Additionally, they have the option to process data directly at the edge for storage and visualization. This enables quick and easy implementation of automated processes such as data analysis, software updates, or event-triggered calls to action. OEMs can use aReady.IOT to implement service-based business models, enhance customer support, and unlock new revenue streams. This convenient off-the-shelf solution requires no additional expertise. Customers can save development time, accelerate time-to-market, respond more quickly to market demands, and maintain a high rate of innovation.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Andreas Bergbauer, Manager Solution Management at congatec, explains: “With aReady.IOT, we are driving the next level of value for our aReady.COM customers. The advanced application integration we enable with aReady.IOT is unmatched. For OEMs and their customers, connectivity becomes a seamless and integral part of their applications. They gain the benefits of homogeneous and convenient operation, a secure connection, and significant cost savings – without needing any additional devices or software.”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“With our new aReady.IOT offering combined with Computer-on-Modules, OEMs can unlock new, future-ready business models. Recurring revenues, such as those from service contracts or Everything-as-a-Service, are becoming increasingly important. To create these sustainable revenue streams, it’s critical to have detailed usage data, simple, secure, and cost-effective maintenance, as well as long-lasting products. Our aReady.COM and aReady.IOT product portfolio, with secure IoT connectivity and easy upgrades across technology generations, provides the perfect basis for this,” explains Daniel Jürgens, CFO of the congatec group.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Preconfigured modules save development time and reduce overall costs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With aReady.IOT, customers gain a versatile range of services for both the hardware and software levels of their applications, consisting of the following packages: The innovative ‘COM Manager’ enables the enhancement of a Computer-on-Module with features such as remote management, software maintenance, and system visualization via a dashboard. The ‘Application Manager’ allows customers to extend COM management to connected peripherals and carrier boards, offering capabilities like rule sets and push notifications for their applications. The ‘Fleet Manager’ enables over-the-air (OTA) updates and facilitates the efficient roll-out of configurations across all existing installations. Upon request, congatec also offers a cloud connection – bi-directional, if needed – through the ‘Cloud Connector’ to services such as AWS, Azure, or Telekom Cloud, providing full flexibility for aReady.IOT applications.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 simplify the configuration of IoT data flows, congatec offers an advanced web interface for creating zero-code solutions using visual or flow-based programming. This makes it easy to implement even complex data flows as no programming expertise or extensive training is required.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With these versatile and scalable service packages, congatec enhances resource and cost efficiency for its customers. Above all, the user-friendly design and high operability provide great flexibility for roll-outs, whether for small batches, custom solutions, or large-scale deployments. The company also offers a comprehensive software maintenance and update package to support its customers.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Further information about aReady.IOT is available at: </w:t>
      </w:r>
      <w:hyperlink r:id="rId9">
        <w:r w:rsidDel="00000000" w:rsidR="00000000" w:rsidRPr="00000000">
          <w:rPr>
            <w:color w:val="0000ff"/>
            <w:u w:val="single"/>
            <w:rtl w:val="0"/>
          </w:rPr>
          <w:t xml:space="preserve">https://www.congatec.com/en/aready/areadyiot/</w:t>
        </w:r>
      </w:hyperlink>
      <w:r w:rsidDel="00000000" w:rsidR="00000000" w:rsidRPr="00000000">
        <w:rPr>
          <w:rtl w:val="0"/>
        </w:rPr>
      </w:r>
    </w:p>
    <w:p w:rsidR="00000000" w:rsidDel="00000000" w:rsidP="00000000" w:rsidRDefault="00000000" w:rsidRPr="00000000" w14:paraId="0000001B">
      <w:pPr>
        <w:rPr>
          <w:color w:val="000000"/>
          <w:sz w:val="16"/>
          <w:szCs w:val="16"/>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Visit congatec in hall 3, booth 241 at </w:t>
      </w:r>
      <w:hyperlink r:id="rId10">
        <w:r w:rsidDel="00000000" w:rsidR="00000000" w:rsidRPr="00000000">
          <w:rPr>
            <w:color w:val="0000ff"/>
            <w:u w:val="single"/>
            <w:rtl w:val="0"/>
          </w:rPr>
          <w:t xml:space="preserve">embedded world 2025</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 * *</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You are warmly invited to attend the </w:t>
      </w:r>
      <w:r w:rsidDel="00000000" w:rsidR="00000000" w:rsidRPr="00000000">
        <w:rPr>
          <w:b w:val="1"/>
          <w:rtl w:val="0"/>
        </w:rPr>
        <w:t xml:space="preserve">press conference</w:t>
      </w:r>
      <w:r w:rsidDel="00000000" w:rsidR="00000000" w:rsidRPr="00000000">
        <w:rPr>
          <w:rtl w:val="0"/>
        </w:rPr>
        <w:t xml:space="preserve"> on </w:t>
      </w:r>
      <w:r w:rsidDel="00000000" w:rsidR="00000000" w:rsidRPr="00000000">
        <w:rPr>
          <w:b w:val="1"/>
          <w:rtl w:val="0"/>
        </w:rPr>
        <w:t xml:space="preserve">March 11</w:t>
      </w:r>
      <w:r w:rsidDel="00000000" w:rsidR="00000000" w:rsidRPr="00000000">
        <w:rPr>
          <w:rtl w:val="0"/>
        </w:rPr>
        <w:t xml:space="preserve">, from </w:t>
      </w:r>
      <w:r w:rsidDel="00000000" w:rsidR="00000000" w:rsidRPr="00000000">
        <w:rPr>
          <w:b w:val="1"/>
          <w:rtl w:val="0"/>
        </w:rPr>
        <w:t xml:space="preserve">14:00 to 14:30</w:t>
      </w:r>
      <w:r w:rsidDel="00000000" w:rsidR="00000000" w:rsidRPr="00000000">
        <w:rPr>
          <w:rtl w:val="0"/>
        </w:rPr>
        <w:t xml:space="preserve">, at </w:t>
      </w:r>
      <w:r w:rsidDel="00000000" w:rsidR="00000000" w:rsidRPr="00000000">
        <w:rPr>
          <w:b w:val="1"/>
          <w:rtl w:val="0"/>
        </w:rPr>
        <w:t xml:space="preserve">NCC Ost</w:t>
      </w:r>
      <w:r w:rsidDel="00000000" w:rsidR="00000000" w:rsidRPr="00000000">
        <w:rPr>
          <w:rtl w:val="0"/>
        </w:rPr>
        <w:t xml:space="preserve"> to hear all the latest news about congatec. If you are interested in the press conference and/or arranging a one-on-one meeting at the stand, please don’t hesitate to contact us directly.</w:t>
      </w:r>
    </w:p>
    <w:p w:rsidR="00000000" w:rsidDel="00000000" w:rsidP="00000000" w:rsidRDefault="00000000" w:rsidRPr="00000000" w14:paraId="00000021">
      <w:pPr>
        <w:rPr>
          <w:color w:val="000000"/>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About congatec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1">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www.congatec.com</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or follow us on </w:t>
      </w:r>
      <w:hyperlink r:id="rId12">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LinkedIn</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and </w:t>
      </w:r>
      <w:hyperlink r:id="rId13">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YouTube</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spacing w:after="240" w:lineRule="auto"/>
        <w:rPr/>
      </w:pPr>
      <w:r w:rsidDel="00000000" w:rsidR="00000000" w:rsidRPr="00000000">
        <w:rPr>
          <w:rtl w:val="0"/>
        </w:rPr>
        <w:br w:type="textWrapp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Reader enquiries: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+49-991-2700-0</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info@congatec.com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www.congatec.com</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Press contact congatec:</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Christof Wilde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+49-991-2700-2822</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christof.wilde@congatec.com</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Press contact agency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Publitek GmbH</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Julia Wolff</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 (0)4181 968098-18</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julia.wolff@publitek.com</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Bremer Straße 6</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21244 Buchholz</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send print publications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Publitek GmbH</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Joke Klein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Bremer Straße 6</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21244 Buchholz</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50178"/>
    <w:pPr>
      <w:suppressAutoHyphens w:val="1"/>
    </w:pPr>
    <w:rPr>
      <w:rFonts w:cs="Times New Roman"/>
      <w:kern w:val="24"/>
      <w:szCs w:val="24"/>
      <w:lang w:eastAsia="ar-SA"/>
    </w:rPr>
  </w:style>
  <w:style w:type="paragraph" w:styleId="berschrift1">
    <w:name w:val="heading 1"/>
    <w:basedOn w:val="Standard"/>
    <w:next w:val="Standard"/>
    <w:link w:val="berschrift1Zchn"/>
    <w:uiPriority w:val="9"/>
    <w:qFormat w:val="1"/>
    <w:rsid w:val="00367F0C"/>
    <w:pPr>
      <w:spacing w:line="276" w:lineRule="auto"/>
      <w:outlineLvl w:val="0"/>
    </w:pPr>
    <w:rPr>
      <w:b w:val="1"/>
      <w:bCs w:val="1"/>
      <w:noProof w:val="1"/>
      <w:sz w:val="36"/>
      <w:szCs w:val="36"/>
      <w:lang w:eastAsia="de-DE"/>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ellenraster">
    <w:name w:val="Table Grid"/>
    <w:basedOn w:val="NormaleTabelle"/>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Sprechblasentext">
    <w:name w:val="Balloon Text"/>
    <w:basedOn w:val="Standard"/>
    <w:link w:val="SprechblasentextZchn"/>
    <w:uiPriority w:val="99"/>
    <w:semiHidden w:val="1"/>
    <w:unhideWhenUsed w:val="1"/>
    <w:rsid w:val="006B627C"/>
    <w:pPr>
      <w:spacing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B627C"/>
    <w:rPr>
      <w:rFonts w:ascii="Tahoma" w:cs="Tahoma" w:hAnsi="Tahoma"/>
      <w:kern w:val="24"/>
      <w:sz w:val="16"/>
      <w:szCs w:val="16"/>
      <w:lang w:eastAsia="ar-SA"/>
    </w:rPr>
  </w:style>
  <w:style w:type="character" w:styleId="Kommentarzeichen">
    <w:name w:val="annotation reference"/>
    <w:basedOn w:val="Absatz-Standardschriftart"/>
    <w:uiPriority w:val="99"/>
    <w:semiHidden w:val="1"/>
    <w:unhideWhenUsed w:val="1"/>
    <w:rsid w:val="009A6FD3"/>
    <w:rPr>
      <w:sz w:val="16"/>
      <w:szCs w:val="16"/>
    </w:rPr>
  </w:style>
  <w:style w:type="paragraph" w:styleId="Kommentartext">
    <w:name w:val="annotation text"/>
    <w:basedOn w:val="Standard"/>
    <w:link w:val="KommentartextZchn"/>
    <w:uiPriority w:val="99"/>
    <w:unhideWhenUsed w:val="1"/>
    <w:rsid w:val="009A6FD3"/>
    <w:pPr>
      <w:spacing w:line="240" w:lineRule="auto"/>
    </w:pPr>
    <w:rPr>
      <w:sz w:val="20"/>
      <w:szCs w:val="20"/>
    </w:rPr>
  </w:style>
  <w:style w:type="character" w:styleId="KommentartextZchn" w:customStyle="1">
    <w:name w:val="Kommentartext Zchn"/>
    <w:basedOn w:val="Absatz-Standardschriftart"/>
    <w:link w:val="Kommentartext"/>
    <w:uiPriority w:val="99"/>
    <w:rsid w:val="009A6FD3"/>
    <w:rPr>
      <w:rFonts w:ascii="Arial" w:cs="Times New Roman" w:hAnsi="Arial"/>
      <w:kern w:val="24"/>
      <w:sz w:val="20"/>
      <w:szCs w:val="20"/>
      <w:lang w:eastAsia="ar-SA"/>
    </w:rPr>
  </w:style>
  <w:style w:type="paragraph" w:styleId="Kommentarthema">
    <w:name w:val="annotation subject"/>
    <w:basedOn w:val="Kommentartext"/>
    <w:next w:val="Kommentartext"/>
    <w:link w:val="KommentarthemaZchn"/>
    <w:uiPriority w:val="99"/>
    <w:semiHidden w:val="1"/>
    <w:unhideWhenUsed w:val="1"/>
    <w:rsid w:val="009A6FD3"/>
    <w:rPr>
      <w:b w:val="1"/>
      <w:bCs w:val="1"/>
    </w:rPr>
  </w:style>
  <w:style w:type="character" w:styleId="KommentarthemaZchn" w:customStyle="1">
    <w:name w:val="Kommentarthema Zchn"/>
    <w:basedOn w:val="KommentartextZchn"/>
    <w:link w:val="Kommentarthema"/>
    <w:uiPriority w:val="99"/>
    <w:semiHidden w:val="1"/>
    <w:rsid w:val="009A6FD3"/>
    <w:rPr>
      <w:rFonts w:ascii="Arial" w:cs="Times New Roman" w:hAnsi="Arial"/>
      <w:b w:val="1"/>
      <w:bCs w:val="1"/>
      <w:kern w:val="24"/>
      <w:sz w:val="20"/>
      <w:szCs w:val="20"/>
      <w:lang w:eastAsia="ar-SA"/>
    </w:rPr>
  </w:style>
  <w:style w:type="character" w:styleId="berschrift1Zchn" w:customStyle="1">
    <w:name w:val="Überschrift 1 Zchn"/>
    <w:basedOn w:val="Absatz-Standardschriftart"/>
    <w:link w:val="berschrift1"/>
    <w:uiPriority w:val="9"/>
    <w:rsid w:val="00367F0C"/>
    <w:rPr>
      <w:rFonts w:ascii="Arial" w:cs="Times New Roman" w:hAnsi="Arial"/>
      <w:b w:val="1"/>
      <w:bCs w:val="1"/>
      <w:noProof w:val="1"/>
      <w:kern w:val="24"/>
      <w:sz w:val="36"/>
      <w:szCs w:val="36"/>
      <w:lang w:eastAsia="de-DE"/>
    </w:rPr>
  </w:style>
  <w:style w:type="paragraph" w:styleId="Kopfzeile">
    <w:name w:val="header"/>
    <w:basedOn w:val="Standard"/>
    <w:link w:val="KopfzeileZchn"/>
    <w:uiPriority w:val="99"/>
    <w:unhideWhenUsed w:val="1"/>
    <w:rsid w:val="00680509"/>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680509"/>
    <w:rPr>
      <w:rFonts w:ascii="Arial" w:cs="Times New Roman" w:hAnsi="Arial"/>
      <w:kern w:val="24"/>
      <w:szCs w:val="24"/>
      <w:lang w:eastAsia="ar-SA"/>
    </w:rPr>
  </w:style>
  <w:style w:type="paragraph" w:styleId="Fuzeile">
    <w:name w:val="footer"/>
    <w:basedOn w:val="Standard"/>
    <w:link w:val="FuzeileZchn"/>
    <w:uiPriority w:val="99"/>
    <w:unhideWhenUsed w:val="1"/>
    <w:rsid w:val="00680509"/>
    <w:pPr>
      <w:tabs>
        <w:tab w:val="center" w:pos="4536"/>
        <w:tab w:val="right" w:pos="9072"/>
      </w:tabs>
      <w:spacing w:line="240" w:lineRule="auto"/>
    </w:pPr>
  </w:style>
  <w:style w:type="character" w:styleId="FuzeileZchn" w:customStyle="1">
    <w:name w:val="Fußzeile Zchn"/>
    <w:basedOn w:val="Absatz-Standardschriftart"/>
    <w:link w:val="Fuzeile"/>
    <w:uiPriority w:val="99"/>
    <w:rsid w:val="00680509"/>
    <w:rPr>
      <w:rFonts w:ascii="Arial" w:cs="Times New Roman" w:hAnsi="Arial"/>
      <w:kern w:val="24"/>
      <w:szCs w:val="24"/>
      <w:lang w:eastAsia="ar-SA"/>
    </w:rPr>
  </w:style>
  <w:style w:type="character" w:styleId="NichtaufgelsteErwhnung1" w:customStyle="1">
    <w:name w:val="Nicht aufgelöste Erwähnung1"/>
    <w:basedOn w:val="Absatz-Standardschriftart"/>
    <w:uiPriority w:val="99"/>
    <w:semiHidden w:val="1"/>
    <w:unhideWhenUsed w:val="1"/>
    <w:rsid w:val="00835D39"/>
    <w:rPr>
      <w:color w:val="605e5c"/>
      <w:shd w:color="auto" w:fill="e1dfdd" w:val="clear"/>
    </w:rPr>
  </w:style>
  <w:style w:type="paragraph" w:styleId="paragraph" w:customStyle="1">
    <w:name w:val="paragraph"/>
    <w:basedOn w:val="Standard"/>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DD6073"/>
  </w:style>
  <w:style w:type="character" w:styleId="eop" w:customStyle="1">
    <w:name w:val="eop"/>
    <w:basedOn w:val="Absatz-Standardschriftart"/>
    <w:rsid w:val="00DD6073"/>
  </w:style>
  <w:style w:type="paragraph" w:styleId="StandardWeb">
    <w:name w:val="Normal (Web)"/>
    <w:basedOn w:val="Standard"/>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Absatz-Standardschriftart"/>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BesuchterLink">
    <w:name w:val="FollowedHyperlink"/>
    <w:basedOn w:val="Absatz-Standardschriftar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Absatz-Standardschriftart"/>
    <w:rsid w:val="00E90C2C"/>
    <w:rPr>
      <w:rFonts w:ascii="Segoe UI" w:cs="Segoe UI" w:hAnsi="Segoe UI" w:hint="default"/>
      <w:sz w:val="18"/>
      <w:szCs w:val="18"/>
    </w:rPr>
  </w:style>
  <w:style w:type="paragraph" w:styleId="pf0" w:customStyle="1">
    <w:name w:val="pf0"/>
    <w:basedOn w:val="Standard"/>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NichtaufgelsteErwhnung">
    <w:name w:val="Unresolved Mention"/>
    <w:basedOn w:val="Absatz-Standardschriftart"/>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Fett">
    <w:name w:val="Strong"/>
    <w:basedOn w:val="Absatz-Standardschriftart"/>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character" w:styleId="Erwhnung">
    <w:name w:val="Mention"/>
    <w:basedOn w:val="Absatz-Standardschriftart"/>
    <w:uiPriority w:val="99"/>
    <w:unhideWhenUsed w:val="1"/>
    <w:rsid w:val="00BD1E82"/>
    <w:rPr>
      <w:color w:val="2b579a"/>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congatec.com" TargetMode="External"/><Relationship Id="rId10" Type="http://schemas.openxmlformats.org/officeDocument/2006/relationships/hyperlink" Target="https://www.congatec.com/en/congatec/events/embedded-world-2025/" TargetMode="External"/><Relationship Id="rId13" Type="http://schemas.openxmlformats.org/officeDocument/2006/relationships/hyperlink" Target="https://www.youtube.com/congatecAE"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aready/areadyiot/" TargetMode="External"/><Relationship Id="rId15" Type="http://schemas.openxmlformats.org/officeDocument/2006/relationships/hyperlink" Target="mailto:julia.wolff@publitek.com" TargetMode="External"/><Relationship Id="rId14" Type="http://schemas.openxmlformats.org/officeDocument/2006/relationships/hyperlink" Target="http://www.congatec.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dSnwu96mdL9H1UZ4TyvJZGlwQ==">CgMxLjA4AHIhMTc2STZnNGQ3Tzhza2NodjRuRVFKQmoxOGd0NHcwN1hv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2025-01-28T10:01:00Z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MKT_x0020_Tool">
    <vt:lpwstr>60;#Communications|e0c0526b-2b41-43bb-a08c-1cb498609ece</vt:lpwstr>
  </property>
  <property fmtid="{D5CDD505-2E9C-101B-9397-08002B2CF9AE}" pid="13" name="Sensitiv">
    <vt:lpwstr/>
  </property>
  <property fmtid="{D5CDD505-2E9C-101B-9397-08002B2CF9AE}" pid="14" name="Approval_x0020_Process">
    <vt:lpwstr/>
  </property>
  <property fmtid="{D5CDD505-2E9C-101B-9397-08002B2CF9AE}" pid="15" name="Product_x0020_Name">
    <vt:lpwstr/>
  </property>
  <property fmtid="{D5CDD505-2E9C-101B-9397-08002B2CF9AE}" pid="16" name="Content">
    <vt:lpwstr>110;#Press Release|5cf71846-c6a5-494a-9a1a-95d12d8e4f03</vt:lpwstr>
  </property>
  <property fmtid="{D5CDD505-2E9C-101B-9397-08002B2CF9AE}" pid="17" name="Form Factor">
    <vt:lpwstr/>
  </property>
  <property fmtid="{D5CDD505-2E9C-101B-9397-08002B2CF9AE}" pid="18" name="Building_x0020_Block">
    <vt:lpwstr>66;#aCOM|23c9291b-b4ba-4b9b-b050-d53146ed0f88</vt:lpwstr>
  </property>
  <property fmtid="{D5CDD505-2E9C-101B-9397-08002B2CF9AE}" pid="19" name="Form_x0020_Factor">
    <vt:lpwstr/>
  </property>
  <property fmtid="{D5CDD505-2E9C-101B-9397-08002B2CF9AE}" pid="20" name="Building Block">
    <vt:lpwstr>66;#aCOM|23c9291b-b4ba-4b9b-b050-d53146ed0f88</vt:lpwstr>
  </property>
  <property fmtid="{D5CDD505-2E9C-101B-9397-08002B2CF9AE}" pid="21" name="Project Name">
    <vt:lpwstr/>
  </property>
  <property fmtid="{D5CDD505-2E9C-101B-9397-08002B2CF9AE}" pid="22" name="Product Name">
    <vt:lpwstr/>
  </property>
  <property fmtid="{D5CDD505-2E9C-101B-9397-08002B2CF9AE}" pid="23" name="Approval Process">
    <vt:lpwstr/>
  </property>
  <property fmtid="{D5CDD505-2E9C-101B-9397-08002B2CF9AE}" pid="24" name="Ecosystem">
    <vt:lpwstr/>
  </property>
  <property fmtid="{D5CDD505-2E9C-101B-9397-08002B2CF9AE}" pid="25" name="Industry">
    <vt:lpwstr/>
  </property>
  <property fmtid="{D5CDD505-2E9C-101B-9397-08002B2CF9AE}" pid="26" name="Status">
    <vt:lpwstr>109;#Review|5adc58f2-c1bf-4548-81db-8df4dfed0ede</vt:lpwstr>
  </property>
  <property fmtid="{D5CDD505-2E9C-101B-9397-08002B2CF9AE}" pid="27" name="Project_x0020_Name">
    <vt:lpwstr/>
  </property>
  <property fmtid="{D5CDD505-2E9C-101B-9397-08002B2CF9AE}" pid="28" name="MKT Tool">
    <vt:lpwstr>60;#Communications|e0c0526b-2b41-43bb-a08c-1cb498609ece</vt:lpwstr>
  </property>
  <property fmtid="{D5CDD505-2E9C-101B-9397-08002B2CF9AE}" pid="29" name="CorpProject">
    <vt:lpwstr>72;#aReady.IOT|640c964b-458b-4fab-a34f-2f9ac2bd52df</vt:lpwstr>
  </property>
  <property fmtid="{D5CDD505-2E9C-101B-9397-08002B2CF9AE}" pid="30" name="Technology">
    <vt:lpwstr>70;#IoT|43d824a1-438d-49d6-bc4b-0403024c725a</vt:lpwstr>
  </property>
  <property fmtid="{D5CDD505-2E9C-101B-9397-08002B2CF9AE}" pid="31" name="Vendor">
    <vt:lpwstr/>
  </property>
  <property fmtid="{D5CDD505-2E9C-101B-9397-08002B2CF9AE}" pid="32" name="MSIP_Label_97dc01f6-6546-49ee-9e99-394813d5515e_Enabled">
    <vt:lpwstr>true</vt:lpwstr>
  </property>
  <property fmtid="{D5CDD505-2E9C-101B-9397-08002B2CF9AE}" pid="33" name="MSIP_Label_97dc01f6-6546-49ee-9e99-394813d5515e_SetDate">
    <vt:lpwstr>2025-01-17T09:25:22Z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8727be69-af65-47d1-8ac7-5f06cd5c2cba</vt:lpwstr>
  </property>
  <property fmtid="{D5CDD505-2E9C-101B-9397-08002B2CF9AE}" pid="38" name="MSIP_Label_97dc01f6-6546-49ee-9e99-394813d5515e_ContentBits">
    <vt:lpwstr>0</vt:lpwstr>
  </property>
</Properties>
</file>