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b w:val="1"/>
          <w:sz w:val="36"/>
          <w:szCs w:val="36"/>
          <w:rtl w:val="0"/>
        </w:rPr>
        <w:t xml:space="preserve">Communiqué de presse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1035"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Blocs logiciels prêts à l'emploi pour une connectivité IoT simple et rapide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rPr>
          <w:b w:val="1"/>
          <w:sz w:val="36"/>
          <w:szCs w:val="36"/>
        </w:rPr>
      </w:pPr>
      <w:r w:rsidDel="00000000" w:rsidR="00000000" w:rsidRPr="00000000">
        <w:rPr>
          <w:b w:val="1"/>
          <w:sz w:val="36"/>
          <w:szCs w:val="36"/>
          <w:rtl w:val="0"/>
        </w:rPr>
        <w:t xml:space="preserve">congatec présente aReady.IOT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5715000" cy="3810000"/>
            <wp:effectExtent b="0" l="0" r="0" t="0"/>
            <wp:docPr descr="Ein Bild, das Im Haus, Waage, Miniatur enthält.&#10;&#10;Automatisch generierte Beschreibung" id="1036" name="image2.jpg"/>
            <a:graphic>
              <a:graphicData uri="http://schemas.openxmlformats.org/drawingml/2006/picture">
                <pic:pic>
                  <pic:nvPicPr>
                    <pic:cNvPr descr="Ein Bild, das Im Haus, Waage, Miniatur enthält.&#10;&#10;Automatisch generierte Beschreibung" id="0" name="image2.jpg"/>
                    <pic:cNvPicPr preferRelativeResize="0"/>
                  </pic:nvPicPr>
                  <pic:blipFill>
                    <a:blip r:embed="rId8"/>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Deggendorf, Allemagne, 5 février 2025</w:t>
      </w:r>
      <w:r w:rsidDel="00000000" w:rsidR="00000000" w:rsidRPr="00000000">
        <w:rPr>
          <w:rtl w:val="0"/>
        </w:rPr>
        <w:t xml:space="preserve"> * * * congatec - l'un des principaux fournisseurs de technologies embarquée et edge computing - étend les fonctionnalités prêtes à l'emploi de aReady.COM avec aReady.IOT, doté de puissantes briques de base logicielles pour une connectivité IoT sécurisée du Computer-on-Module (COM) au cloud. L'objectif est de simplifier davantage l'utilisation d'applications embarquées modernes et d'accélérer l'innovation. Avec aReady.IOT, les utilisateurs peuvent se concentrer entièrement sur leur coeur de compétences tandis que congatec réduit la complexité du développement d'applications, permettant une communication et un transfert de données transparents entre différents systèmes et appareils. congatec fournit les briques logicielles requises dans les combinaisons souhaitées, prêtes à être utilisées immédiatement.</w:t>
      </w:r>
    </w:p>
    <w:p w:rsidR="00000000" w:rsidDel="00000000" w:rsidP="00000000" w:rsidRDefault="00000000" w:rsidRPr="00000000" w14:paraId="0000000C">
      <w:pPr>
        <w:rPr/>
      </w:pPr>
      <w:r w:rsidDel="00000000" w:rsidR="00000000" w:rsidRPr="00000000">
        <w:rPr>
          <w:rtl w:val="0"/>
        </w:rPr>
        <w:t xml:space="preserve">Ces briques de base préconfigurées permettent de communiquer avec des machines, des systèmes, des appareils voire des capteurs via des protocoles tels que OPCUA, MQTT et REST. Les utilisateurs peuvent les utiliser pour l'acquisition de données, la surveillance à distance, la maintenance et la gestion (par exemple, OEE - Overall Equipment Efficiency), ainsi que la maintenance prédictive. En outre, ils ont la possibilité de traiter les données directement à la périphérie pour les stocker et les visualiser. Cela permet de mettre en œuvre rapidement et facilement des processus automatisés tels que l'analyse des données, les mises à jour logicielles ou les appels à l'action déclenchés par un événement. Les OEM peuvent utiliser aReady.IOT pour mettre en œuvre des modèles économiques basés sur le service, améliorer le support client et débloquer de nouvelles sources de revenus. Cette solution pratique prête à l'emploi ne nécessite aucune expertise supplémentaire. Les clients peuvent gagner du temps de développement, accélérer la mise sur le marché, répondre plus rapidement aux demandes du marché et maintenir un taux d'innovation élevé.</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Andreas Bergbauer, Directeur Solution Management chez congatec, explique : « Avec aReady.IOT, nous apportons une valeur ajoutée supplémentaire à nos clients aReady.COM. L'intégration avancée des applications que nous permettons avec aReady.IOT est inégalée. Pour les OEM et leurs clients, la connectivité fait partie intégrante de leurs applications. Ils bénéficient d'un fonctionnement homogène et pratique, d'une connexion sécurisée et d'économies significatives, sans avoir besoin d'appareils ou de logiciels supplémentaires.”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Grâce à notre nouvelle offre aReady.IOT combinée aux Computer-on-Modules, les OEM peuvent développer de nouveaux modèles économiques pour l'avenir. Les revenus récurrents, tels que ceux provenant des contrats de service ou de « Tout en tant que service », deviennent de plus en plus importants. Pour créer ces flux de revenus durables, il est essentiel de disposer de données d'utilisation détaillées, d'une maintenance simple, sûre et rentable, ainsi que de produits durables. Notre portefeuille de produits aReady.COM et aReady.IOT, avec une connectivité IoT sécurisée et des mises à niveau faciles à travers les générations technologiques, constitue la base idéale pour cela », explique Daniel Jürgens, directeur financier du groupe congatec.</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Modules préconfigurés pour gagner en temps de développement et diminuer les coûts</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Avec aReady.IOT, les clients bénéficient d'une gamme de services polyvalente pour les niveaux matériel et logiciel de leurs applications, comprenant les packages suivants : l'innovant « COM Manager » permet d'améliorer un Computer-on-Module avec des fonctions telles que la gestion à distance, la maintenance logicielle et la visualisation du système via un tableau de bord. L'« Application Manager » permet aux clients d'étendre la gestion COM aux périphériques connectés et aux cartes porteuses, en offrant des fonctionnalités telles que des ensembles de règles et des notifications push pour leurs applications. Le « Fleet Manager » permet des mises à jour OTA (over-the-air) et facilite le déploiement efficace des configurations dans toutes les installations existantes. Sur demande, congatec propose également une connexion cloud - bidirectionnelle, si nécessaire - via le « Cloud Connector » à des services tels que AWS, Azure ou Telekom Cloud, offrant ainsi une flexibilité totale pour les applications aReady.IOT.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Pour simplifier la configuration des flux de données IoT, congatec propose une interface web perfectionnée permettant de créer des solutions zéro-code à l'aide d'une programmation visuelle ou basée sur les flux. Cela facilite la mise en œuvre de flux de données même complexes, car aucune expertise en programmation ou formation approfondie n'est requise.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Grâce à ces packs de services polyvalents et évolutifs, congatec améliore l'efficacité des ressources et des coûts pour ses clients. Surtout, la conception accessible et la haute opérabilité assurent une grande flexibilité de mise en oeuvre, qu'il s'agisse de petits lots, de solutions personnalisées ou de déploiements à grande échelle. L'entreprise propose également un programme de maintenance complet et de mise à jour des logiciels pour aider ses clients.</w:t>
      </w:r>
    </w:p>
    <w:p w:rsidR="00000000" w:rsidDel="00000000" w:rsidP="00000000" w:rsidRDefault="00000000" w:rsidRPr="00000000" w14:paraId="00000019">
      <w:pPr>
        <w:rPr/>
      </w:pPr>
      <w:r w:rsidDel="00000000" w:rsidR="00000000" w:rsidRPr="00000000">
        <w:rPr>
          <w:rtl w:val="0"/>
        </w:rPr>
        <w:t xml:space="preserve">Plus d’infos sur aReady.IOT sur : </w:t>
      </w:r>
      <w:hyperlink r:id="rId9">
        <w:r w:rsidDel="00000000" w:rsidR="00000000" w:rsidRPr="00000000">
          <w:rPr>
            <w:color w:val="000000"/>
            <w:u w:val="single"/>
            <w:rtl w:val="0"/>
          </w:rPr>
          <w:t xml:space="preserve">https://www.congatec.com/en/aready/areadyiot/</w:t>
        </w:r>
      </w:hyperlink>
      <w:r w:rsidDel="00000000" w:rsidR="00000000" w:rsidRPr="00000000">
        <w:rPr>
          <w:rtl w:val="0"/>
        </w:rPr>
      </w:r>
    </w:p>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Rendez visite à congatec : hall 3, stand 241 à </w:t>
      </w:r>
      <w:hyperlink r:id="rId10">
        <w:r w:rsidDel="00000000" w:rsidR="00000000" w:rsidRPr="00000000">
          <w:rPr>
            <w:color w:val="000000"/>
            <w:u w:val="single"/>
            <w:rtl w:val="0"/>
          </w:rPr>
          <w:t xml:space="preserve">embedded world 2025</w:t>
        </w:r>
      </w:hyperlink>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 * *</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Vous êtes cordialement invités à assister à la </w:t>
      </w:r>
      <w:r w:rsidDel="00000000" w:rsidR="00000000" w:rsidRPr="00000000">
        <w:rPr>
          <w:b w:val="1"/>
          <w:rtl w:val="0"/>
        </w:rPr>
        <w:t xml:space="preserve">conférence de presse </w:t>
      </w:r>
      <w:r w:rsidDel="00000000" w:rsidR="00000000" w:rsidRPr="00000000">
        <w:rPr>
          <w:rtl w:val="0"/>
        </w:rPr>
        <w:t xml:space="preserve">du 11 mars, de </w:t>
      </w:r>
      <w:r w:rsidDel="00000000" w:rsidR="00000000" w:rsidRPr="00000000">
        <w:rPr>
          <w:b w:val="1"/>
          <w:rtl w:val="0"/>
        </w:rPr>
        <w:t xml:space="preserve">14h00 à 14h30</w:t>
      </w:r>
      <w:r w:rsidDel="00000000" w:rsidR="00000000" w:rsidRPr="00000000">
        <w:rPr>
          <w:rtl w:val="0"/>
        </w:rPr>
        <w:t xml:space="preserve">, au </w:t>
      </w:r>
      <w:r w:rsidDel="00000000" w:rsidR="00000000" w:rsidRPr="00000000">
        <w:rPr>
          <w:b w:val="1"/>
          <w:rtl w:val="0"/>
        </w:rPr>
        <w:t xml:space="preserve">NCC Ost</w:t>
      </w:r>
      <w:r w:rsidDel="00000000" w:rsidR="00000000" w:rsidRPr="00000000">
        <w:rPr>
          <w:rtl w:val="0"/>
        </w:rPr>
        <w:t xml:space="preserve">, pour présenter les nouveautés de congatec. Si vous êtes intéressé par cette conference et/ou par un rendez-vous individuel sur le stand, n'hésitez pas à nous contacter directement.</w:t>
      </w:r>
    </w:p>
    <w:p w:rsidR="00000000" w:rsidDel="00000000" w:rsidP="00000000" w:rsidRDefault="00000000" w:rsidRPr="00000000" w14:paraId="00000020">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1">
      <w:pPr>
        <w:spacing w:line="288" w:lineRule="auto"/>
        <w:jc w:val="center"/>
        <w:rPr>
          <w:sz w:val="17"/>
          <w:szCs w:val="17"/>
        </w:rPr>
      </w:pPr>
      <w:r w:rsidDel="00000000" w:rsidR="00000000" w:rsidRPr="00000000">
        <w:rPr>
          <w:sz w:val="17"/>
          <w:szCs w:val="17"/>
          <w:rtl w:val="0"/>
        </w:rPr>
        <w:t xml:space="preserve">* * *</w:t>
      </w:r>
    </w:p>
    <w:p w:rsidR="00000000" w:rsidDel="00000000" w:rsidP="00000000" w:rsidRDefault="00000000" w:rsidRPr="00000000" w14:paraId="00000022">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3">
      <w:pPr>
        <w:spacing w:line="288" w:lineRule="auto"/>
        <w:rPr>
          <w:b w:val="1"/>
          <w:sz w:val="18"/>
          <w:szCs w:val="18"/>
        </w:rPr>
      </w:pPr>
      <w:r w:rsidDel="00000000" w:rsidR="00000000" w:rsidRPr="00000000">
        <w:rPr>
          <w:b w:val="1"/>
          <w:sz w:val="18"/>
          <w:szCs w:val="18"/>
          <w:rtl w:val="0"/>
        </w:rPr>
        <w:t xml:space="preserve">À propos de congatec </w:t>
      </w:r>
    </w:p>
    <w:p w:rsidR="00000000" w:rsidDel="00000000" w:rsidP="00000000" w:rsidRDefault="00000000" w:rsidRPr="00000000" w14:paraId="00000024">
      <w:pPr>
        <w:spacing w:line="288" w:lineRule="auto"/>
        <w:rPr>
          <w:sz w:val="18"/>
          <w:szCs w:val="18"/>
        </w:rPr>
      </w:pPr>
      <w:r w:rsidDel="00000000" w:rsidR="00000000" w:rsidRPr="00000000">
        <w:rPr>
          <w:sz w:val="18"/>
          <w:szCs w:val="18"/>
          <w:rtl w:val="0"/>
        </w:rPr>
        <w:t xml:space="preserve">congatec est l'un des principaux fournisseurs mondiaux de briques matérielles et logicielles haute performance pour les solutions embarquées et edge basées sur des Computer-on-Modules (COM). Ces modules avancés pilotent des systèmes et des appareils dans des secteurs tels que l'automatisation industrielle, la technologie médicale, la robotique, les télécommunications, etc. Les écosystèmes aReady. haute performance de congatec simplifient et accélèrent le développement de solutions, du COM au cloud. Cette approche prête à l'emploi combine des COM avec des services et des technologies personnalisables qui permettent des avancées de pointe dans la consolidation des systèmes, l'IoT, la sécurité et l'intelligence artificielle. Soutenue par son actionnaire majoritaire, DBAG Fund VIII - un fonds allemand du mid-market axé sur la stimulation de la croissance des entreprises industrielles - congatec dispose du soutien financier et de l'expertise en matière de fusions-acquisitions nécessaires pour tirer parti des opportunités de marché en expansion. Pour plus d'informations, visitez le site </w:t>
      </w:r>
      <w:hyperlink r:id="rId11">
        <w:r w:rsidDel="00000000" w:rsidR="00000000" w:rsidRPr="00000000">
          <w:rPr>
            <w:color w:val="0000ff"/>
            <w:sz w:val="18"/>
            <w:szCs w:val="18"/>
            <w:u w:val="single"/>
            <w:rtl w:val="0"/>
          </w:rPr>
          <w:t xml:space="preserve">http://www.congatec.com/</w:t>
        </w:r>
      </w:hyperlink>
      <w:r w:rsidDel="00000000" w:rsidR="00000000" w:rsidRPr="00000000">
        <w:rPr>
          <w:sz w:val="18"/>
          <w:szCs w:val="18"/>
          <w:rtl w:val="0"/>
        </w:rPr>
        <w:t xml:space="preserve"> ou suivez-nous sur </w:t>
      </w:r>
      <w:r w:rsidDel="00000000" w:rsidR="00000000" w:rsidRPr="00000000">
        <w:rPr>
          <w:color w:val="0000ff"/>
          <w:sz w:val="18"/>
          <w:szCs w:val="18"/>
          <w:u w:val="single"/>
          <w:rtl w:val="0"/>
        </w:rPr>
        <w:t xml:space="preserve">LinkedIn</w:t>
      </w:r>
      <w:r w:rsidDel="00000000" w:rsidR="00000000" w:rsidRPr="00000000">
        <w:rPr>
          <w:sz w:val="18"/>
          <w:szCs w:val="18"/>
          <w:rtl w:val="0"/>
        </w:rPr>
        <w:t xml:space="preserve"> et </w:t>
      </w:r>
      <w:r w:rsidDel="00000000" w:rsidR="00000000" w:rsidRPr="00000000">
        <w:rPr>
          <w:color w:val="0000ff"/>
          <w:sz w:val="18"/>
          <w:szCs w:val="18"/>
          <w:u w:val="single"/>
          <w:rtl w:val="0"/>
        </w:rPr>
        <w:t xml:space="preserve">YouTube</w:t>
      </w:r>
      <w:r w:rsidDel="00000000" w:rsidR="00000000" w:rsidRPr="00000000">
        <w:rPr>
          <w:sz w:val="18"/>
          <w:szCs w:val="18"/>
          <w:rtl w:val="0"/>
        </w:rPr>
        <w:t xml:space="preserve">.</w:t>
      </w:r>
    </w:p>
    <w:p w:rsidR="00000000" w:rsidDel="00000000" w:rsidP="00000000" w:rsidRDefault="00000000" w:rsidRPr="00000000" w14:paraId="00000025">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6">
      <w:pPr>
        <w:spacing w:line="288" w:lineRule="auto"/>
        <w:rPr>
          <w:b w:val="1"/>
          <w:sz w:val="23"/>
          <w:szCs w:val="23"/>
        </w:rPr>
      </w:pPr>
      <w:r w:rsidDel="00000000" w:rsidR="00000000" w:rsidRPr="00000000">
        <w:rPr>
          <w:b w:val="1"/>
          <w:sz w:val="23"/>
          <w:szCs w:val="23"/>
          <w:rtl w:val="0"/>
        </w:rPr>
        <w:t xml:space="preserve">Contact pour les lecteurs:</w:t>
      </w:r>
    </w:p>
    <w:p w:rsidR="00000000" w:rsidDel="00000000" w:rsidP="00000000" w:rsidRDefault="00000000" w:rsidRPr="00000000" w14:paraId="00000027">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28">
      <w:pPr>
        <w:spacing w:line="288" w:lineRule="auto"/>
        <w:rPr>
          <w:sz w:val="23"/>
          <w:szCs w:val="23"/>
        </w:rPr>
      </w:pPr>
      <w:r w:rsidDel="00000000" w:rsidR="00000000" w:rsidRPr="00000000">
        <w:rPr>
          <w:sz w:val="23"/>
          <w:szCs w:val="23"/>
          <w:rtl w:val="0"/>
        </w:rPr>
        <w:t xml:space="preserve">Telefon: +49-991-2700-0</w:t>
      </w:r>
    </w:p>
    <w:p w:rsidR="00000000" w:rsidDel="00000000" w:rsidP="00000000" w:rsidRDefault="00000000" w:rsidRPr="00000000" w14:paraId="00000029">
      <w:pPr>
        <w:spacing w:line="288" w:lineRule="auto"/>
        <w:rPr>
          <w:color w:val="0000ff"/>
          <w:sz w:val="23"/>
          <w:szCs w:val="23"/>
          <w:u w:val="single"/>
        </w:rPr>
      </w:pPr>
      <w:r w:rsidDel="00000000" w:rsidR="00000000" w:rsidRPr="00000000">
        <w:rPr>
          <w:color w:val="0000ff"/>
          <w:sz w:val="23"/>
          <w:szCs w:val="23"/>
          <w:u w:val="single"/>
          <w:rtl w:val="0"/>
        </w:rPr>
        <w:t xml:space="preserve">info@congatec.com </w:t>
      </w:r>
    </w:p>
    <w:p w:rsidR="00000000" w:rsidDel="00000000" w:rsidP="00000000" w:rsidRDefault="00000000" w:rsidRPr="00000000" w14:paraId="0000002A">
      <w:pPr>
        <w:spacing w:line="288" w:lineRule="auto"/>
        <w:rPr>
          <w:color w:val="0000ff"/>
          <w:sz w:val="23"/>
          <w:szCs w:val="23"/>
          <w:u w:val="single"/>
        </w:rPr>
      </w:pPr>
      <w:hyperlink r:id="rId12">
        <w:r w:rsidDel="00000000" w:rsidR="00000000" w:rsidRPr="00000000">
          <w:rPr>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2B">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C">
      <w:pPr>
        <w:spacing w:line="288" w:lineRule="auto"/>
        <w:rPr>
          <w:b w:val="1"/>
          <w:sz w:val="23"/>
          <w:szCs w:val="23"/>
        </w:rPr>
      </w:pPr>
      <w:r w:rsidDel="00000000" w:rsidR="00000000" w:rsidRPr="00000000">
        <w:rPr>
          <w:b w:val="1"/>
          <w:sz w:val="23"/>
          <w:szCs w:val="23"/>
          <w:rtl w:val="0"/>
        </w:rPr>
        <w:t xml:space="preserve">Contact pour la presse congatec:</w:t>
      </w:r>
    </w:p>
    <w:p w:rsidR="00000000" w:rsidDel="00000000" w:rsidP="00000000" w:rsidRDefault="00000000" w:rsidRPr="00000000" w14:paraId="0000002D">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2E">
      <w:pPr>
        <w:spacing w:line="288" w:lineRule="auto"/>
        <w:rPr>
          <w:sz w:val="23"/>
          <w:szCs w:val="23"/>
        </w:rPr>
      </w:pPr>
      <w:r w:rsidDel="00000000" w:rsidR="00000000" w:rsidRPr="00000000">
        <w:rPr>
          <w:sz w:val="23"/>
          <w:szCs w:val="23"/>
          <w:rtl w:val="0"/>
        </w:rPr>
        <w:t xml:space="preserve">Christof Wilde</w:t>
      </w:r>
    </w:p>
    <w:p w:rsidR="00000000" w:rsidDel="00000000" w:rsidP="00000000" w:rsidRDefault="00000000" w:rsidRPr="00000000" w14:paraId="0000002F">
      <w:pPr>
        <w:spacing w:line="288" w:lineRule="auto"/>
        <w:rPr>
          <w:sz w:val="23"/>
          <w:szCs w:val="23"/>
        </w:rPr>
      </w:pPr>
      <w:r w:rsidDel="00000000" w:rsidR="00000000" w:rsidRPr="00000000">
        <w:rPr>
          <w:sz w:val="23"/>
          <w:szCs w:val="23"/>
          <w:rtl w:val="0"/>
        </w:rPr>
        <w:t xml:space="preserve">Telefon: +49-991-2700-2822</w:t>
      </w:r>
    </w:p>
    <w:p w:rsidR="00000000" w:rsidDel="00000000" w:rsidP="00000000" w:rsidRDefault="00000000" w:rsidRPr="00000000" w14:paraId="00000030">
      <w:pPr>
        <w:spacing w:line="288" w:lineRule="auto"/>
        <w:rPr>
          <w:rFonts w:ascii="Aptos" w:cs="Aptos" w:eastAsia="Aptos" w:hAnsi="Aptos"/>
          <w:sz w:val="24"/>
          <w:szCs w:val="24"/>
        </w:rPr>
      </w:pPr>
      <w:r w:rsidDel="00000000" w:rsidR="00000000" w:rsidRPr="00000000">
        <w:rPr>
          <w:color w:val="0000ff"/>
          <w:sz w:val="23"/>
          <w:szCs w:val="23"/>
          <w:u w:val="single"/>
          <w:rtl w:val="0"/>
        </w:rPr>
        <w:t xml:space="preserve">christof.wilde@congatec.com </w:t>
      </w:r>
      <w:r w:rsidDel="00000000" w:rsidR="00000000" w:rsidRPr="00000000">
        <w:rPr>
          <w:rtl w:val="0"/>
        </w:rPr>
      </w:r>
    </w:p>
    <w:p w:rsidR="00000000" w:rsidDel="00000000" w:rsidP="00000000" w:rsidRDefault="00000000" w:rsidRPr="00000000" w14:paraId="00000031">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2">
      <w:pPr>
        <w:spacing w:line="288" w:lineRule="auto"/>
        <w:rPr>
          <w:b w:val="1"/>
          <w:sz w:val="23"/>
          <w:szCs w:val="23"/>
        </w:rPr>
      </w:pPr>
      <w:r w:rsidDel="00000000" w:rsidR="00000000" w:rsidRPr="00000000">
        <w:rPr>
          <w:b w:val="1"/>
          <w:sz w:val="23"/>
          <w:szCs w:val="23"/>
          <w:rtl w:val="0"/>
        </w:rPr>
        <w:t xml:space="preserve">Contact pour la presse Agence:</w:t>
      </w:r>
    </w:p>
    <w:p w:rsidR="00000000" w:rsidDel="00000000" w:rsidP="00000000" w:rsidRDefault="00000000" w:rsidRPr="00000000" w14:paraId="00000033">
      <w:pPr>
        <w:spacing w:line="288" w:lineRule="auto"/>
        <w:rPr>
          <w:sz w:val="23"/>
          <w:szCs w:val="23"/>
        </w:rPr>
      </w:pPr>
      <w:r w:rsidDel="00000000" w:rsidR="00000000" w:rsidRPr="00000000">
        <w:rPr>
          <w:sz w:val="23"/>
          <w:szCs w:val="23"/>
          <w:rtl w:val="0"/>
        </w:rPr>
        <w:t xml:space="preserve">Publitek GmbH</w:t>
      </w:r>
    </w:p>
    <w:p w:rsidR="00000000" w:rsidDel="00000000" w:rsidP="00000000" w:rsidRDefault="00000000" w:rsidRPr="00000000" w14:paraId="00000034">
      <w:pPr>
        <w:spacing w:line="288" w:lineRule="auto"/>
        <w:rPr>
          <w:sz w:val="23"/>
          <w:szCs w:val="23"/>
        </w:rPr>
      </w:pPr>
      <w:r w:rsidDel="00000000" w:rsidR="00000000" w:rsidRPr="00000000">
        <w:rPr>
          <w:sz w:val="23"/>
          <w:szCs w:val="23"/>
          <w:rtl w:val="0"/>
        </w:rPr>
        <w:t xml:space="preserve">Julia Wolff</w:t>
      </w:r>
    </w:p>
    <w:p w:rsidR="00000000" w:rsidDel="00000000" w:rsidP="00000000" w:rsidRDefault="00000000" w:rsidRPr="00000000" w14:paraId="00000035">
      <w:pPr>
        <w:spacing w:line="288" w:lineRule="auto"/>
        <w:rPr>
          <w:sz w:val="23"/>
          <w:szCs w:val="23"/>
        </w:rPr>
      </w:pPr>
      <w:r w:rsidDel="00000000" w:rsidR="00000000" w:rsidRPr="00000000">
        <w:rPr>
          <w:sz w:val="23"/>
          <w:szCs w:val="23"/>
          <w:rtl w:val="0"/>
        </w:rPr>
        <w:t xml:space="preserve">+49 (0)4181 968098-18</w:t>
      </w:r>
    </w:p>
    <w:p w:rsidR="00000000" w:rsidDel="00000000" w:rsidP="00000000" w:rsidRDefault="00000000" w:rsidRPr="00000000" w14:paraId="00000036">
      <w:pPr>
        <w:spacing w:line="288" w:lineRule="auto"/>
        <w:rPr>
          <w:color w:val="0000ff"/>
          <w:sz w:val="23"/>
          <w:szCs w:val="23"/>
          <w:u w:val="single"/>
        </w:rPr>
      </w:pPr>
      <w:r w:rsidDel="00000000" w:rsidR="00000000" w:rsidRPr="00000000">
        <w:rPr>
          <w:color w:val="0000ff"/>
          <w:sz w:val="23"/>
          <w:szCs w:val="23"/>
          <w:u w:val="single"/>
          <w:rtl w:val="0"/>
        </w:rPr>
        <w:t xml:space="preserve">julia.wolff@publitek.com</w:t>
      </w:r>
    </w:p>
    <w:p w:rsidR="00000000" w:rsidDel="00000000" w:rsidP="00000000" w:rsidRDefault="00000000" w:rsidRPr="00000000" w14:paraId="00000037">
      <w:pPr>
        <w:spacing w:line="288" w:lineRule="auto"/>
        <w:rPr>
          <w:sz w:val="23"/>
          <w:szCs w:val="23"/>
        </w:rPr>
      </w:pPr>
      <w:r w:rsidDel="00000000" w:rsidR="00000000" w:rsidRPr="00000000">
        <w:rPr>
          <w:sz w:val="23"/>
          <w:szCs w:val="23"/>
          <w:rtl w:val="0"/>
        </w:rPr>
        <w:t xml:space="preserve">Bremer Straße 6</w:t>
      </w:r>
    </w:p>
    <w:p w:rsidR="00000000" w:rsidDel="00000000" w:rsidP="00000000" w:rsidRDefault="00000000" w:rsidRPr="00000000" w14:paraId="00000038">
      <w:pPr>
        <w:spacing w:line="288" w:lineRule="auto"/>
        <w:rPr>
          <w:sz w:val="23"/>
          <w:szCs w:val="23"/>
        </w:rPr>
      </w:pPr>
      <w:r w:rsidDel="00000000" w:rsidR="00000000" w:rsidRPr="00000000">
        <w:rPr>
          <w:sz w:val="23"/>
          <w:szCs w:val="23"/>
          <w:rtl w:val="0"/>
        </w:rPr>
        <w:t xml:space="preserve">21244 Buchholz</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sectPr>
      <w:headerReference r:id="rId13" w:type="default"/>
      <w:headerReference r:id="rId14" w:type="first"/>
      <w:footerReference r:id="rId15" w:type="default"/>
      <w:footerReference r:id="rId16" w:type="first"/>
      <w:footerReference r:id="rId17"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178"/>
    <w:pPr>
      <w:suppressAutoHyphens w:val="1"/>
    </w:pPr>
    <w:rPr>
      <w:rFonts w:cs="Times New Roman"/>
      <w:kern w:val="24"/>
      <w:szCs w:val="24"/>
      <w:lang w:eastAsia="ar-SA"/>
    </w:rPr>
  </w:style>
  <w:style w:type="paragraph" w:styleId="Titre1">
    <w:name w:val="heading 1"/>
    <w:basedOn w:val="Normal"/>
    <w:next w:val="Normal"/>
    <w:link w:val="Titre1Car"/>
    <w:uiPriority w:val="9"/>
    <w:qFormat w:val="1"/>
    <w:rsid w:val="00367F0C"/>
    <w:pPr>
      <w:spacing w:line="276" w:lineRule="auto"/>
      <w:outlineLvl w:val="0"/>
    </w:pPr>
    <w:rPr>
      <w:b w:val="1"/>
      <w:bCs w:val="1"/>
      <w:noProof w:val="1"/>
      <w:sz w:val="36"/>
      <w:szCs w:val="36"/>
      <w:lang w:eastAsia="de-DE"/>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Grilledutableau">
    <w:name w:val="Table Grid"/>
    <w:basedOn w:val="Tableau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Lienhypertexte">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Textedebulles">
    <w:name w:val="Balloon Text"/>
    <w:basedOn w:val="Normal"/>
    <w:link w:val="TextedebullesCar"/>
    <w:uiPriority w:val="99"/>
    <w:semiHidden w:val="1"/>
    <w:unhideWhenUsed w:val="1"/>
    <w:rsid w:val="006B627C"/>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6B627C"/>
    <w:rPr>
      <w:rFonts w:ascii="Tahoma" w:cs="Tahoma" w:hAnsi="Tahoma"/>
      <w:kern w:val="24"/>
      <w:sz w:val="16"/>
      <w:szCs w:val="16"/>
      <w:lang w:eastAsia="ar-SA"/>
    </w:rPr>
  </w:style>
  <w:style w:type="character" w:styleId="Marquedecommentaire">
    <w:name w:val="annotation reference"/>
    <w:basedOn w:val="Policepardfaut"/>
    <w:uiPriority w:val="99"/>
    <w:semiHidden w:val="1"/>
    <w:unhideWhenUsed w:val="1"/>
    <w:rsid w:val="009A6FD3"/>
    <w:rPr>
      <w:sz w:val="16"/>
      <w:szCs w:val="16"/>
    </w:rPr>
  </w:style>
  <w:style w:type="paragraph" w:styleId="Commentaire">
    <w:name w:val="annotation text"/>
    <w:basedOn w:val="Normal"/>
    <w:link w:val="CommentaireCar"/>
    <w:uiPriority w:val="99"/>
    <w:unhideWhenUsed w:val="1"/>
    <w:rsid w:val="009A6FD3"/>
    <w:pPr>
      <w:spacing w:line="240" w:lineRule="auto"/>
    </w:pPr>
    <w:rPr>
      <w:sz w:val="20"/>
      <w:szCs w:val="20"/>
    </w:rPr>
  </w:style>
  <w:style w:type="character" w:styleId="CommentaireCar" w:customStyle="1">
    <w:name w:val="Commentaire Car"/>
    <w:basedOn w:val="Policepardfaut"/>
    <w:link w:val="Commentaire"/>
    <w:uiPriority w:val="99"/>
    <w:rsid w:val="009A6FD3"/>
    <w:rPr>
      <w:rFonts w:ascii="Arial" w:cs="Times New Roman" w:hAnsi="Arial"/>
      <w:kern w:val="24"/>
      <w:sz w:val="20"/>
      <w:szCs w:val="20"/>
      <w:lang w:eastAsia="ar-SA"/>
    </w:rPr>
  </w:style>
  <w:style w:type="paragraph" w:styleId="Objetducommentaire">
    <w:name w:val="annotation subject"/>
    <w:basedOn w:val="Commentaire"/>
    <w:next w:val="Commentaire"/>
    <w:link w:val="ObjetducommentaireCar"/>
    <w:uiPriority w:val="99"/>
    <w:semiHidden w:val="1"/>
    <w:unhideWhenUsed w:val="1"/>
    <w:rsid w:val="009A6FD3"/>
    <w:rPr>
      <w:b w:val="1"/>
      <w:bCs w:val="1"/>
    </w:rPr>
  </w:style>
  <w:style w:type="character" w:styleId="ObjetducommentaireCar" w:customStyle="1">
    <w:name w:val="Objet du commentaire Car"/>
    <w:basedOn w:val="CommentaireCar"/>
    <w:link w:val="Objetducommentaire"/>
    <w:uiPriority w:val="99"/>
    <w:semiHidden w:val="1"/>
    <w:rsid w:val="009A6FD3"/>
    <w:rPr>
      <w:rFonts w:ascii="Arial" w:cs="Times New Roman" w:hAnsi="Arial"/>
      <w:b w:val="1"/>
      <w:bCs w:val="1"/>
      <w:kern w:val="24"/>
      <w:sz w:val="20"/>
      <w:szCs w:val="20"/>
      <w:lang w:eastAsia="ar-SA"/>
    </w:rPr>
  </w:style>
  <w:style w:type="character" w:styleId="Titre1Car" w:customStyle="1">
    <w:name w:val="Titre 1 Car"/>
    <w:basedOn w:val="Policepardfaut"/>
    <w:link w:val="Titre1"/>
    <w:uiPriority w:val="9"/>
    <w:rsid w:val="00367F0C"/>
    <w:rPr>
      <w:rFonts w:ascii="Arial" w:cs="Times New Roman" w:hAnsi="Arial"/>
      <w:b w:val="1"/>
      <w:bCs w:val="1"/>
      <w:noProof w:val="1"/>
      <w:kern w:val="24"/>
      <w:sz w:val="36"/>
      <w:szCs w:val="36"/>
      <w:lang w:eastAsia="de-DE"/>
    </w:rPr>
  </w:style>
  <w:style w:type="paragraph" w:styleId="En-tte">
    <w:name w:val="header"/>
    <w:basedOn w:val="Normal"/>
    <w:link w:val="En-tteCar"/>
    <w:uiPriority w:val="99"/>
    <w:unhideWhenUsed w:val="1"/>
    <w:rsid w:val="00680509"/>
    <w:pPr>
      <w:tabs>
        <w:tab w:val="center" w:pos="4536"/>
        <w:tab w:val="right" w:pos="9072"/>
      </w:tabs>
      <w:spacing w:line="240" w:lineRule="auto"/>
    </w:pPr>
  </w:style>
  <w:style w:type="character" w:styleId="En-tteCar" w:customStyle="1">
    <w:name w:val="En-tête Car"/>
    <w:basedOn w:val="Policepardfaut"/>
    <w:link w:val="En-tte"/>
    <w:uiPriority w:val="99"/>
    <w:rsid w:val="00680509"/>
    <w:rPr>
      <w:rFonts w:ascii="Arial" w:cs="Times New Roman" w:hAnsi="Arial"/>
      <w:kern w:val="24"/>
      <w:szCs w:val="24"/>
      <w:lang w:eastAsia="ar-SA"/>
    </w:rPr>
  </w:style>
  <w:style w:type="paragraph" w:styleId="Pieddepage">
    <w:name w:val="footer"/>
    <w:basedOn w:val="Normal"/>
    <w:link w:val="PieddepageCar"/>
    <w:uiPriority w:val="99"/>
    <w:unhideWhenUsed w:val="1"/>
    <w:rsid w:val="00680509"/>
    <w:pPr>
      <w:tabs>
        <w:tab w:val="center" w:pos="4536"/>
        <w:tab w:val="right" w:pos="9072"/>
      </w:tabs>
      <w:spacing w:line="240" w:lineRule="auto"/>
    </w:pPr>
  </w:style>
  <w:style w:type="character" w:styleId="PieddepageCar" w:customStyle="1">
    <w:name w:val="Pied de page Car"/>
    <w:basedOn w:val="Policepardfaut"/>
    <w:link w:val="Pieddepage"/>
    <w:uiPriority w:val="99"/>
    <w:rsid w:val="00680509"/>
    <w:rPr>
      <w:rFonts w:ascii="Arial" w:cs="Times New Roman" w:hAnsi="Arial"/>
      <w:kern w:val="24"/>
      <w:szCs w:val="24"/>
      <w:lang w:eastAsia="ar-SA"/>
    </w:rPr>
  </w:style>
  <w:style w:type="character" w:styleId="NichtaufgelsteErwhnung1" w:customStyle="1">
    <w:name w:val="Nicht aufgelöste Erwähnung1"/>
    <w:basedOn w:val="Policepardfaut"/>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Policepardfaut"/>
    <w:rsid w:val="00DD6073"/>
  </w:style>
  <w:style w:type="character" w:styleId="eop" w:customStyle="1">
    <w:name w:val="eop"/>
    <w:basedOn w:val="Policepardfaut"/>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ous-titr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visio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Policepardfaut"/>
    <w:uiPriority w:val="99"/>
    <w:unhideWhenUsed w:val="1"/>
    <w:rsid w:val="009C2FFF"/>
    <w:rPr>
      <w:color w:val="2b579a"/>
      <w:shd w:color="auto" w:fill="e1dfdd" w:val="clear"/>
    </w:rPr>
  </w:style>
  <w:style w:type="table" w:styleId="TableNormal10" w:customStyle="1">
    <w:name w:val="Table Normal10"/>
    <w:rsid w:val="00323AC8"/>
    <w:tblPr>
      <w:tblCellMar>
        <w:top w:w="0.0" w:type="dxa"/>
        <w:left w:w="0.0" w:type="dxa"/>
        <w:bottom w:w="0.0" w:type="dxa"/>
        <w:right w:w="0.0" w:type="dxa"/>
      </w:tblCellMar>
    </w:tblPr>
  </w:style>
  <w:style w:type="character" w:styleId="Lienhypertextesuivivisit">
    <w:name w:val="FollowedHyperlink"/>
    <w:basedOn w:val="Policepardfau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Policepardfaut"/>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Mentionnonrsolue">
    <w:name w:val="Unresolved Mention"/>
    <w:basedOn w:val="Policepardfaut"/>
    <w:uiPriority w:val="99"/>
    <w:semiHidden w:val="1"/>
    <w:unhideWhenUsed w:val="1"/>
    <w:rsid w:val="006E4BEE"/>
    <w:rPr>
      <w:color w:val="605e5c"/>
      <w:shd w:color="auto" w:fill="e1dfdd" w:val="clear"/>
    </w:rPr>
  </w:style>
  <w:style w:type="table" w:styleId="a8" w:customStyle="1">
    <w:basedOn w:val="TableNormal1"/>
    <w:pPr>
      <w:spacing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character" w:styleId="lev">
    <w:name w:val="Strong"/>
    <w:basedOn w:val="Policepardfaut"/>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character" w:styleId="Mention">
    <w:name w:val="Mention"/>
    <w:basedOn w:val="Policepardfaut"/>
    <w:uiPriority w:val="99"/>
    <w:unhideWhenUsed w:val="1"/>
    <w:rsid w:val="00BD1E82"/>
    <w:rPr>
      <w:color w:val="2b579a"/>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ngatec.com/" TargetMode="External"/><Relationship Id="rId10" Type="http://schemas.openxmlformats.org/officeDocument/2006/relationships/hyperlink" Target="https://www.congatec.com/en/congatec/events/embedded-world-2025/" TargetMode="External"/><Relationship Id="rId13" Type="http://schemas.openxmlformats.org/officeDocument/2006/relationships/header" Target="header1.xml"/><Relationship Id="rId12" Type="http://schemas.openxmlformats.org/officeDocument/2006/relationships/hyperlink" Target="http://www.congate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aready/areadyiot/" TargetMode="External"/><Relationship Id="rId15" Type="http://schemas.openxmlformats.org/officeDocument/2006/relationships/footer" Target="footer2.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I8xXqzjpWd5FtkB/oBNNOvSDmg==">CgMxLjA4AHIhMXlxeXVQdjhicDRmbUhwSGJSQUpKZ2w0SGZSVE55TmZl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2025-01-31T11:02:00Z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MKT_x0020_Tool">
    <vt:lpwstr>60;#Communications|e0c0526b-2b41-43bb-a08c-1cb498609ece</vt:lpwstr>
  </property>
  <property fmtid="{D5CDD505-2E9C-101B-9397-08002B2CF9AE}" pid="13" name="Sensitiv">
    <vt:lpwstr/>
  </property>
  <property fmtid="{D5CDD505-2E9C-101B-9397-08002B2CF9AE}" pid="14" name="Approval_x0020_Process">
    <vt:lpwstr/>
  </property>
  <property fmtid="{D5CDD505-2E9C-101B-9397-08002B2CF9AE}" pid="15" name="Product_x0020_Name">
    <vt:lpwstr/>
  </property>
  <property fmtid="{D5CDD505-2E9C-101B-9397-08002B2CF9AE}" pid="16" name="Content">
    <vt:lpwstr>110;#Press Release|5cf71846-c6a5-494a-9a1a-95d12d8e4f03</vt:lpwstr>
  </property>
  <property fmtid="{D5CDD505-2E9C-101B-9397-08002B2CF9AE}" pid="17" name="Form Factor">
    <vt:lpwstr/>
  </property>
  <property fmtid="{D5CDD505-2E9C-101B-9397-08002B2CF9AE}" pid="18" name="Building_x0020_Block">
    <vt:lpwstr>66;#aCOM|23c9291b-b4ba-4b9b-b050-d53146ed0f88</vt:lpwstr>
  </property>
  <property fmtid="{D5CDD505-2E9C-101B-9397-08002B2CF9AE}" pid="19" name="Form_x0020_Factor">
    <vt:lpwstr/>
  </property>
  <property fmtid="{D5CDD505-2E9C-101B-9397-08002B2CF9AE}" pid="20" name="Building Block">
    <vt:lpwstr>66;#aCOM|23c9291b-b4ba-4b9b-b050-d53146ed0f88</vt:lpwstr>
  </property>
  <property fmtid="{D5CDD505-2E9C-101B-9397-08002B2CF9AE}" pid="21" name="Project Name">
    <vt:lpwstr/>
  </property>
  <property fmtid="{D5CDD505-2E9C-101B-9397-08002B2CF9AE}" pid="22" name="Product Name">
    <vt:lpwstr/>
  </property>
  <property fmtid="{D5CDD505-2E9C-101B-9397-08002B2CF9AE}" pid="23" name="Approval Process">
    <vt:lpwstr/>
  </property>
  <property fmtid="{D5CDD505-2E9C-101B-9397-08002B2CF9AE}" pid="24" name="Ecosystem">
    <vt:lpwstr/>
  </property>
  <property fmtid="{D5CDD505-2E9C-101B-9397-08002B2CF9AE}" pid="25" name="Industry">
    <vt:lpwstr/>
  </property>
  <property fmtid="{D5CDD505-2E9C-101B-9397-08002B2CF9AE}" pid="26" name="Status">
    <vt:lpwstr>109;#Review|5adc58f2-c1bf-4548-81db-8df4dfed0ede</vt:lpwstr>
  </property>
  <property fmtid="{D5CDD505-2E9C-101B-9397-08002B2CF9AE}" pid="27" name="Project_x0020_Name">
    <vt:lpwstr/>
  </property>
  <property fmtid="{D5CDD505-2E9C-101B-9397-08002B2CF9AE}" pid="28" name="MKT Tool">
    <vt:lpwstr>60;#Communications|e0c0526b-2b41-43bb-a08c-1cb498609ece</vt:lpwstr>
  </property>
  <property fmtid="{D5CDD505-2E9C-101B-9397-08002B2CF9AE}" pid="29" name="CorpProject">
    <vt:lpwstr>72;#aReady.IOT|640c964b-458b-4fab-a34f-2f9ac2bd52df</vt:lpwstr>
  </property>
  <property fmtid="{D5CDD505-2E9C-101B-9397-08002B2CF9AE}" pid="30" name="Technology">
    <vt:lpwstr>70;#IoT|43d824a1-438d-49d6-bc4b-0403024c725a</vt:lpwstr>
  </property>
  <property fmtid="{D5CDD505-2E9C-101B-9397-08002B2CF9AE}" pid="31" name="Vendor">
    <vt:lpwstr/>
  </property>
  <property fmtid="{D5CDD505-2E9C-101B-9397-08002B2CF9AE}" pid="32" name="MSIP_Label_97dc01f6-6546-49ee-9e99-394813d5515e_Enabled">
    <vt:lpwstr>true</vt:lpwstr>
  </property>
  <property fmtid="{D5CDD505-2E9C-101B-9397-08002B2CF9AE}" pid="33" name="MSIP_Label_97dc01f6-6546-49ee-9e99-394813d5515e_SetDate">
    <vt:lpwstr>2025-01-17T09:25:22Z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8727be69-af65-47d1-8ac7-5f06cd5c2cba</vt:lpwstr>
  </property>
  <property fmtid="{D5CDD505-2E9C-101B-9397-08002B2CF9AE}" pid="38" name="MSIP_Label_97dc01f6-6546-49ee-9e99-394813d5515e_ContentBits">
    <vt:lpwstr>0</vt:lpwstr>
  </property>
</Properties>
</file>