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Nota de Prensa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Bloques de software listos para su implementación en conectividad IoT sencilla y rápida</w:t>
      </w:r>
    </w:p>
    <w:p w:rsidR="00000000" w:rsidDel="00000000" w:rsidP="00000000" w:rsidRDefault="00000000" w:rsidRPr="00000000" w14:paraId="00000005">
      <w:pPr>
        <w:spacing w:line="240" w:lineRule="auto"/>
        <w:rPr>
          <w:b w:val="1"/>
          <w:color w:val="000000"/>
          <w:sz w:val="36"/>
          <w:szCs w:val="36"/>
        </w:rPr>
      </w:pPr>
      <w:r w:rsidDel="00000000" w:rsidR="00000000" w:rsidRPr="00000000">
        <w:rPr>
          <w:b w:val="1"/>
          <w:color w:val="000000"/>
          <w:sz w:val="36"/>
          <w:szCs w:val="36"/>
          <w:rtl w:val="0"/>
        </w:rPr>
        <w:t xml:space="preserve">congatec launches aReady.IOT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0" distT="0" distL="0" distR="0">
            <wp:extent cx="5715000" cy="3810000"/>
            <wp:effectExtent b="0" l="0" r="0" t="0"/>
            <wp:docPr descr="Ein Bild, das Im Haus, Waage, Miniatur enthält.&#10;&#10;Automatisch generierte Beschreibung" id="3" name="image1.jpg"/>
            <a:graphic>
              <a:graphicData uri="http://schemas.openxmlformats.org/drawingml/2006/picture">
                <pic:pic>
                  <pic:nvPicPr>
                    <pic:cNvPr descr="Ein Bild, das Im Haus, Waage, Miniatur enthält.&#10;&#10;Automatisch generierte Beschreibung" id="0" name="image1.jpg"/>
                    <pic:cNvPicPr preferRelativeResize="0"/>
                  </pic:nvPicPr>
                  <pic:blipFill>
                    <a:blip r:embed="rId7"/>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Deggendorf, Alemania, 5 de febrero de 2025</w:t>
      </w:r>
      <w:r w:rsidDel="00000000" w:rsidR="00000000" w:rsidRPr="00000000">
        <w:rPr>
          <w:rtl w:val="0"/>
        </w:rPr>
        <w:t xml:space="preserve"> * * * congatec, proveedor líder de tecnología de sistemas embebidos y edge computing, amplía la funcionalidad lista para su aplicación de aReady.COM con aReady.IOT, que introduce potentes bloques de software para una conectividad IoT segura desde el módulo COM (Computer-On-Module) hasta la nube. El objetivo es simplificar aún más el uso de las aplicaciones embebidas modernas y acelerar la innovación. Con aReady.IOT, los usuarios pueden centrarse por completo en sus competencias principales, mientras que congatec reduce la complejidad del desarrollo de aplicaciones, lo que permite una comunicación y una transferencia de datos fluidas entre diferentes sistemas y dispositivos. congatec ofrece los bloques de construcción de software necesarios en las combinaciones deseadas, listos para su uso inmediato.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Los bloques de construcción preconfigurados permiten la comunicación con máquinas, sistemas, dispositivos e incluso sensores a través de protocolos como OPCUA, MQTT y REST. Los usuarios pueden aprovecharlos para la adquisición de datos, la supervisión, el mantenimiento y la gestión remota (por ejemplo, OEE, eficiencia general de los equipos), así como para el mantenimiento predictivo. Además, tienen la opción de procesar los datos directamente en el edge para su almacenamiento y visualización. Esto permite una implementación rápida y sencilla de procesos automatizados como el análisis de datos, las actualizaciones de software o las llamadas a la acción activadas por eventos. Los fabricantes de equipos originales pueden utilizar aReady.IOT para implementar modelos de negocio basados en servicios, mejorar la atención al cliente y desbloquear nuevas fuentes de ingresos. Esta cómoda solución lista para usar no requiere conocimientos adicionales. Los clientes pueden ahorrar tiempo de desarrollo, acelerar el tiempo de comercialización, responder más rápidamente a las demandas del mercado y mantener un alto índice de innovación.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Andreas Bergbauer, Manager Solution Management de congatec, explica: «Con aReady.IOT, estamos impulsando el siguiente nivel de valor para nuestros clientes de aReady.COM. La integración avanzada de aplicaciones que posibilitamos con aReady.IOT no tiene parangón. Para los fabricantes de equipos originales y sus clientes, la conectividad se convierte en una parte integral y fluida de sus aplicaciones. Obtienen los beneficios de un funcionamiento homogéneo y cómodo, una conexión segura y un importante ahorro de costes, sin necesidad de dispositivos o software adicionales».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«Con nuestra nueva oferta aReady.IOT combinada con módulos COM, los OEM pueden desbloquear nuevos modelos de negocio preparados para el futuro. Los ingresos recurrentes, como los procedentes de contratos de servicios o Everything-as-a-Service, son cada vez más importantes. Para crear estas fuentes de ingresos sostenibles, es fundamental disponer de datos detallados de uso, un mantenimiento sencillo, seguro y rentable, así como productos duraderos. Nuestra cartera de productos aReady.COM y aReady.IOT, con conectividad IoT segura y actualizaciones sencillas entre generaciones de tecnología, proporciona la base perfecta para ello», explica Daniel Jürgens, CFO del grupo congatec.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Los módulos preconfigurados ahorran tiempo de desarrollo y reducen los costes generales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Con Ready.IOT, los clientes obtienen una versátil gama de servicios tanto para el nivel de hardware como de software de sus aplicaciones, que consta de los siguientes paquetes: El innovador «COM Manager» permite mejorar un módulo COM con funciones como la gestión remota, el mantenimiento de software y la visualización del sistema a través de un panel de control. El «Application Manager» permite a los clientes ampliar la gestión de módulos COM a periféricos conectados y placas base, ofreciendo capacidades como conjuntos de reglas y notificaciones push para sus aplicaciones. El «Fleet Manager» permite actualizaciones inalámbricas (OTA) y facilita el despliegue eficiente de configuraciones en todas las instalaciones existentes. Previa solicitud, congatec también ofrece una conexión en la nube, bidireccional si es necesario, a través del «Cloud Connector» a servicios como AWS, Azure o Telekom Cloud, lo que proporciona una flexibilidad total para las aplicaciones aReady.IOT.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Para simplificar la configuración de los flujos de datos de IoT, congatec ofrece una interfaz web avanzada para crear soluciones sin código mediante programación visual o basada en flujos. Esto facilita la implementación incluso de flujos de datos complejos, ya que no se requieren conocimientos de programación ni una amplia formación.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Con estos paquetes de servicios versátiles y escalables, congatec mejora la eficiencia de recursos y costes para sus clientes. Sobre todo, el diseño fácil de usar y la alta operatividad proporcionan una gran flexibilidad para los despliegues, ya sea para lotes pequeños, soluciones personalizadas o implementaciones a gran escala. La empresa también ofrece un paquete completo de mantenimiento y actualización de software para apoyar a sus clientes.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Más información sobre aReady.IOT en: </w:t>
      </w:r>
      <w:hyperlink r:id="rId8">
        <w:r w:rsidDel="00000000" w:rsidR="00000000" w:rsidRPr="00000000">
          <w:rPr>
            <w:color w:val="0000ff"/>
            <w:u w:val="single"/>
            <w:rtl w:val="0"/>
          </w:rPr>
          <w:t xml:space="preserve">https://www.congatec.com/en/aready/areadyiot/</w:t>
        </w:r>
      </w:hyperlink>
      <w:r w:rsidDel="00000000" w:rsidR="00000000" w:rsidRPr="00000000">
        <w:rPr>
          <w:rtl w:val="0"/>
        </w:rPr>
      </w:r>
    </w:p>
    <w:p w:rsidR="00000000" w:rsidDel="00000000" w:rsidP="00000000" w:rsidRDefault="00000000" w:rsidRPr="00000000" w14:paraId="0000001A">
      <w:pPr>
        <w:rPr>
          <w:color w:val="000000"/>
          <w:sz w:val="16"/>
          <w:szCs w:val="1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Visite congatec en el hall 3, stand 241 en </w:t>
      </w:r>
      <w:hyperlink r:id="rId9">
        <w:r w:rsidDel="00000000" w:rsidR="00000000" w:rsidRPr="00000000">
          <w:rPr>
            <w:color w:val="0000ff"/>
            <w:u w:val="single"/>
            <w:rtl w:val="0"/>
          </w:rPr>
          <w:t xml:space="preserve">embedded world 2025</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 * *</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Le invitamos cordialmente a asistir a la </w:t>
      </w:r>
      <w:r w:rsidDel="00000000" w:rsidR="00000000" w:rsidRPr="00000000">
        <w:rPr>
          <w:b w:val="1"/>
          <w:rtl w:val="0"/>
        </w:rPr>
        <w:t xml:space="preserve">rueda de prensa el 11 de marzo, de 14:00 a 14:30, en NCC Ost</w:t>
      </w:r>
      <w:r w:rsidDel="00000000" w:rsidR="00000000" w:rsidRPr="00000000">
        <w:rPr>
          <w:rtl w:val="0"/>
        </w:rPr>
        <w:t xml:space="preserve"> para conocer las últimas noticias sobre congatec. Si está interesado en la rueda de prensa o en concertar una reunión individual en el stand, no dude en ponerse en contacto con nosotros directamente.</w:t>
      </w:r>
    </w:p>
    <w:p w:rsidR="00000000" w:rsidDel="00000000" w:rsidP="00000000" w:rsidRDefault="00000000" w:rsidRPr="00000000" w14:paraId="00000020">
      <w:pPr>
        <w:rPr>
          <w:color w:val="000000"/>
          <w:sz w:val="16"/>
          <w:szCs w:val="16"/>
        </w:rPr>
      </w:pPr>
      <w:r w:rsidDel="00000000" w:rsidR="00000000" w:rsidRPr="00000000">
        <w:rPr>
          <w:rtl w:val="0"/>
        </w:rPr>
      </w:r>
    </w:p>
    <w:p w:rsidR="00000000" w:rsidDel="00000000" w:rsidP="00000000" w:rsidRDefault="00000000" w:rsidRPr="00000000" w14:paraId="00000021">
      <w:pPr>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22">
      <w:pPr>
        <w:jc w:val="center"/>
        <w:rPr>
          <w:sz w:val="16"/>
          <w:szCs w:val="16"/>
        </w:rPr>
      </w:pPr>
      <w:r w:rsidDel="00000000" w:rsidR="00000000" w:rsidRPr="00000000">
        <w:rPr>
          <w:rtl w:val="0"/>
        </w:rPr>
      </w:r>
    </w:p>
    <w:p w:rsidR="00000000" w:rsidDel="00000000" w:rsidP="00000000" w:rsidRDefault="00000000" w:rsidRPr="00000000" w14:paraId="00000023">
      <w:pPr>
        <w:spacing w:line="288" w:lineRule="auto"/>
        <w:rPr>
          <w:sz w:val="18"/>
          <w:szCs w:val="18"/>
        </w:rPr>
      </w:pPr>
      <w:r w:rsidDel="00000000" w:rsidR="00000000" w:rsidRPr="00000000">
        <w:rPr>
          <w:b w:val="1"/>
          <w:sz w:val="18"/>
          <w:szCs w:val="18"/>
          <w:rtl w:val="0"/>
        </w:rPr>
        <w:t xml:space="preserve">Sobre congatec</w:t>
      </w:r>
      <w:r w:rsidDel="00000000" w:rsidR="00000000" w:rsidRPr="00000000">
        <w:rPr>
          <w:sz w:val="18"/>
          <w:szCs w:val="18"/>
          <w:rtl w:val="0"/>
        </w:rPr>
        <w:t xml:space="preserve"> </w:t>
      </w:r>
    </w:p>
    <w:p w:rsidR="00000000" w:rsidDel="00000000" w:rsidP="00000000" w:rsidRDefault="00000000" w:rsidRPr="00000000" w14:paraId="00000024">
      <w:pPr>
        <w:spacing w:line="288" w:lineRule="auto"/>
        <w:rPr>
          <w:sz w:val="18"/>
          <w:szCs w:val="18"/>
        </w:rPr>
      </w:pPr>
      <w:r w:rsidDel="00000000" w:rsidR="00000000" w:rsidRPr="00000000">
        <w:rPr>
          <w:sz w:val="18"/>
          <w:szCs w:val="18"/>
          <w:rtl w:val="0"/>
        </w:rPr>
        <w:t xml:space="preserve">congatec es uno de los principales proveedores mundiales de componentes hardware y software de altas prestaciones para soluciones de sistemas embebidos y edge computing basadas en módulos COM (Computer-on-Modules). Estos avanzados módulos de computación impulsan sistemas y dispositivos en sectores como la automatización industrial, la tecnología médica, la robótica, las telecomunicaciones, etc. Los ecosistemas aReady. de altas prestaciones de congatec simplifican y aceleran el desarrollo de soluciones, desde el COM hasta la nube. Este enfoque "application-ready" (preparado para operar) combina módulos COM con servicios y tecnologías personalizables que permiten avances de vanguardia en consolidación de sistemas, IoT, seguridad e inteligencia artificial. Con el apoyo de su accionista mayoritario, DBAG Fund VIII - un fondo alemán del mercado medio, centrado en impulsar el crecimiento de las empresas industriales - congatec tiene el respaldo financiero y la experiencia en fusiones y adquisiciones para capitalizar las oportunidades de mercado en expansión. Para más información, visite </w:t>
      </w:r>
      <w:hyperlink r:id="rId10">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síganos en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y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25">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6">
      <w:pPr>
        <w:spacing w:line="288" w:lineRule="auto"/>
        <w:rPr>
          <w:b w:val="1"/>
          <w:sz w:val="23"/>
          <w:szCs w:val="23"/>
        </w:rPr>
      </w:pPr>
      <w:r w:rsidDel="00000000" w:rsidR="00000000" w:rsidRPr="00000000">
        <w:rPr>
          <w:b w:val="1"/>
          <w:sz w:val="23"/>
          <w:szCs w:val="23"/>
          <w:rtl w:val="0"/>
        </w:rPr>
        <w:t xml:space="preserve">Contacto con los lectores:</w:t>
      </w:r>
    </w:p>
    <w:p w:rsidR="00000000" w:rsidDel="00000000" w:rsidP="00000000" w:rsidRDefault="00000000" w:rsidRPr="00000000" w14:paraId="00000027">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28">
      <w:pPr>
        <w:spacing w:line="288" w:lineRule="auto"/>
        <w:rPr>
          <w:sz w:val="23"/>
          <w:szCs w:val="23"/>
        </w:rPr>
      </w:pPr>
      <w:r w:rsidDel="00000000" w:rsidR="00000000" w:rsidRPr="00000000">
        <w:rPr>
          <w:sz w:val="23"/>
          <w:szCs w:val="23"/>
          <w:rtl w:val="0"/>
        </w:rPr>
        <w:t xml:space="preserve">Telefon: +49-991-2700-0</w:t>
      </w:r>
    </w:p>
    <w:p w:rsidR="00000000" w:rsidDel="00000000" w:rsidP="00000000" w:rsidRDefault="00000000" w:rsidRPr="00000000" w14:paraId="00000029">
      <w:pPr>
        <w:spacing w:line="288" w:lineRule="auto"/>
        <w:rPr>
          <w:color w:val="0000ff"/>
          <w:sz w:val="23"/>
          <w:szCs w:val="23"/>
          <w:u w:val="single"/>
        </w:rPr>
      </w:pPr>
      <w:r w:rsidDel="00000000" w:rsidR="00000000" w:rsidRPr="00000000">
        <w:rPr>
          <w:color w:val="0000ff"/>
          <w:sz w:val="23"/>
          <w:szCs w:val="23"/>
          <w:u w:val="single"/>
          <w:rtl w:val="0"/>
        </w:rPr>
        <w:t xml:space="preserve">info@congatec.com </w:t>
      </w:r>
    </w:p>
    <w:p w:rsidR="00000000" w:rsidDel="00000000" w:rsidP="00000000" w:rsidRDefault="00000000" w:rsidRPr="00000000" w14:paraId="0000002A">
      <w:pPr>
        <w:spacing w:line="288" w:lineRule="auto"/>
        <w:rPr>
          <w:color w:val="0000ff"/>
          <w:sz w:val="23"/>
          <w:szCs w:val="23"/>
          <w:u w:val="single"/>
        </w:rPr>
      </w:pPr>
      <w:hyperlink r:id="rId11">
        <w:r w:rsidDel="00000000" w:rsidR="00000000" w:rsidRPr="00000000">
          <w:rPr>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2B">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C">
      <w:pPr>
        <w:spacing w:line="288" w:lineRule="auto"/>
        <w:rPr>
          <w:b w:val="1"/>
          <w:sz w:val="23"/>
          <w:szCs w:val="23"/>
        </w:rPr>
      </w:pPr>
      <w:r w:rsidDel="00000000" w:rsidR="00000000" w:rsidRPr="00000000">
        <w:rPr>
          <w:b w:val="1"/>
          <w:sz w:val="23"/>
          <w:szCs w:val="23"/>
          <w:rtl w:val="0"/>
        </w:rPr>
        <w:t xml:space="preserve">Contacto con la prensa congatec:</w:t>
      </w:r>
    </w:p>
    <w:p w:rsidR="00000000" w:rsidDel="00000000" w:rsidP="00000000" w:rsidRDefault="00000000" w:rsidRPr="00000000" w14:paraId="0000002D">
      <w:pPr>
        <w:spacing w:line="288" w:lineRule="auto"/>
        <w:jc w:val="both"/>
        <w:rPr>
          <w:sz w:val="23"/>
          <w:szCs w:val="23"/>
        </w:rPr>
      </w:pPr>
      <w:r w:rsidDel="00000000" w:rsidR="00000000" w:rsidRPr="00000000">
        <w:rPr>
          <w:sz w:val="23"/>
          <w:szCs w:val="23"/>
          <w:rtl w:val="0"/>
        </w:rPr>
        <w:t xml:space="preserve">congatec</w:t>
      </w:r>
    </w:p>
    <w:p w:rsidR="00000000" w:rsidDel="00000000" w:rsidP="00000000" w:rsidRDefault="00000000" w:rsidRPr="00000000" w14:paraId="0000002E">
      <w:pPr>
        <w:spacing w:line="288" w:lineRule="auto"/>
        <w:jc w:val="both"/>
        <w:rPr>
          <w:sz w:val="23"/>
          <w:szCs w:val="23"/>
        </w:rPr>
      </w:pPr>
      <w:r w:rsidDel="00000000" w:rsidR="00000000" w:rsidRPr="00000000">
        <w:rPr>
          <w:sz w:val="23"/>
          <w:szCs w:val="23"/>
          <w:rtl w:val="0"/>
        </w:rPr>
        <w:t xml:space="preserve">Christof Wilde</w:t>
      </w:r>
    </w:p>
    <w:p w:rsidR="00000000" w:rsidDel="00000000" w:rsidP="00000000" w:rsidRDefault="00000000" w:rsidRPr="00000000" w14:paraId="0000002F">
      <w:pPr>
        <w:spacing w:line="288" w:lineRule="auto"/>
        <w:jc w:val="both"/>
        <w:rPr>
          <w:sz w:val="23"/>
          <w:szCs w:val="23"/>
        </w:rPr>
      </w:pPr>
      <w:r w:rsidDel="00000000" w:rsidR="00000000" w:rsidRPr="00000000">
        <w:rPr>
          <w:sz w:val="23"/>
          <w:szCs w:val="23"/>
          <w:rtl w:val="0"/>
        </w:rPr>
        <w:t xml:space="preserve">Phone:  +49-991-2700-2822</w:t>
      </w:r>
    </w:p>
    <w:p w:rsidR="00000000" w:rsidDel="00000000" w:rsidP="00000000" w:rsidRDefault="00000000" w:rsidRPr="00000000" w14:paraId="00000030">
      <w:pPr>
        <w:spacing w:line="288" w:lineRule="auto"/>
        <w:jc w:val="both"/>
        <w:rPr>
          <w:color w:val="0000ff"/>
          <w:sz w:val="23"/>
          <w:szCs w:val="23"/>
          <w:u w:val="single"/>
        </w:rPr>
      </w:pPr>
      <w:r w:rsidDel="00000000" w:rsidR="00000000" w:rsidRPr="00000000">
        <w:rPr>
          <w:color w:val="0000ff"/>
          <w:sz w:val="23"/>
          <w:szCs w:val="23"/>
          <w:u w:val="single"/>
          <w:rtl w:val="0"/>
        </w:rPr>
        <w:t xml:space="preserve">christof.wilde@congatec.com</w:t>
      </w:r>
    </w:p>
    <w:p w:rsidR="00000000" w:rsidDel="00000000" w:rsidP="00000000" w:rsidRDefault="00000000" w:rsidRPr="00000000" w14:paraId="00000031">
      <w:pPr>
        <w:spacing w:line="288"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2">
      <w:pPr>
        <w:spacing w:line="288" w:lineRule="auto"/>
        <w:rPr>
          <w:b w:val="1"/>
          <w:sz w:val="23"/>
          <w:szCs w:val="23"/>
        </w:rPr>
      </w:pPr>
      <w:r w:rsidDel="00000000" w:rsidR="00000000" w:rsidRPr="00000000">
        <w:rPr>
          <w:b w:val="1"/>
          <w:sz w:val="23"/>
          <w:szCs w:val="23"/>
          <w:rtl w:val="0"/>
        </w:rPr>
        <w:t xml:space="preserve">Contacto con la prensa Agencia:</w:t>
      </w:r>
    </w:p>
    <w:p w:rsidR="00000000" w:rsidDel="00000000" w:rsidP="00000000" w:rsidRDefault="00000000" w:rsidRPr="00000000" w14:paraId="00000033">
      <w:pPr>
        <w:spacing w:line="288" w:lineRule="auto"/>
        <w:rPr>
          <w:sz w:val="23"/>
          <w:szCs w:val="23"/>
        </w:rPr>
      </w:pPr>
      <w:r w:rsidDel="00000000" w:rsidR="00000000" w:rsidRPr="00000000">
        <w:rPr>
          <w:sz w:val="23"/>
          <w:szCs w:val="23"/>
          <w:rtl w:val="0"/>
        </w:rPr>
        <w:t xml:space="preserve">Publitek GmbH</w:t>
      </w:r>
    </w:p>
    <w:p w:rsidR="00000000" w:rsidDel="00000000" w:rsidP="00000000" w:rsidRDefault="00000000" w:rsidRPr="00000000" w14:paraId="00000034">
      <w:pPr>
        <w:spacing w:line="288" w:lineRule="auto"/>
        <w:rPr>
          <w:sz w:val="23"/>
          <w:szCs w:val="23"/>
        </w:rPr>
      </w:pPr>
      <w:r w:rsidDel="00000000" w:rsidR="00000000" w:rsidRPr="00000000">
        <w:rPr>
          <w:sz w:val="23"/>
          <w:szCs w:val="23"/>
          <w:rtl w:val="0"/>
        </w:rPr>
        <w:t xml:space="preserve">Julia Wolff</w:t>
      </w:r>
    </w:p>
    <w:p w:rsidR="00000000" w:rsidDel="00000000" w:rsidP="00000000" w:rsidRDefault="00000000" w:rsidRPr="00000000" w14:paraId="00000035">
      <w:pPr>
        <w:spacing w:line="288" w:lineRule="auto"/>
        <w:rPr>
          <w:sz w:val="23"/>
          <w:szCs w:val="23"/>
        </w:rPr>
      </w:pPr>
      <w:r w:rsidDel="00000000" w:rsidR="00000000" w:rsidRPr="00000000">
        <w:rPr>
          <w:sz w:val="23"/>
          <w:szCs w:val="23"/>
          <w:rtl w:val="0"/>
        </w:rPr>
        <w:t xml:space="preserve">+49 (0)4181 968098-18</w:t>
      </w:r>
    </w:p>
    <w:p w:rsidR="00000000" w:rsidDel="00000000" w:rsidP="00000000" w:rsidRDefault="00000000" w:rsidRPr="00000000" w14:paraId="00000036">
      <w:pPr>
        <w:spacing w:line="288" w:lineRule="auto"/>
        <w:rPr>
          <w:color w:val="0000ff"/>
          <w:sz w:val="23"/>
          <w:szCs w:val="23"/>
          <w:u w:val="single"/>
        </w:rPr>
      </w:pPr>
      <w:r w:rsidDel="00000000" w:rsidR="00000000" w:rsidRPr="00000000">
        <w:rPr>
          <w:color w:val="0000ff"/>
          <w:sz w:val="23"/>
          <w:szCs w:val="23"/>
          <w:u w:val="single"/>
          <w:rtl w:val="0"/>
        </w:rPr>
        <w:t xml:space="preserve">julia.wolff@publitek.com</w:t>
      </w:r>
    </w:p>
    <w:p w:rsidR="00000000" w:rsidDel="00000000" w:rsidP="00000000" w:rsidRDefault="00000000" w:rsidRPr="00000000" w14:paraId="00000037">
      <w:pPr>
        <w:spacing w:line="288" w:lineRule="auto"/>
        <w:rPr>
          <w:sz w:val="23"/>
          <w:szCs w:val="23"/>
        </w:rPr>
      </w:pPr>
      <w:r w:rsidDel="00000000" w:rsidR="00000000" w:rsidRPr="00000000">
        <w:rPr>
          <w:sz w:val="23"/>
          <w:szCs w:val="23"/>
          <w:rtl w:val="0"/>
        </w:rPr>
        <w:t xml:space="preserve">Bremer Straße 6</w:t>
      </w:r>
    </w:p>
    <w:p w:rsidR="00000000" w:rsidDel="00000000" w:rsidP="00000000" w:rsidRDefault="00000000" w:rsidRPr="00000000" w14:paraId="00000038">
      <w:pPr>
        <w:spacing w:line="288" w:lineRule="auto"/>
        <w:rPr>
          <w:sz w:val="16"/>
          <w:szCs w:val="16"/>
        </w:rPr>
      </w:pPr>
      <w:r w:rsidDel="00000000" w:rsidR="00000000" w:rsidRPr="00000000">
        <w:rPr>
          <w:sz w:val="23"/>
          <w:szCs w:val="23"/>
          <w:rtl w:val="0"/>
        </w:rPr>
        <w:t xml:space="preserve">21244 Buchholz</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2" w:type="default"/>
      <w:headerReference r:id="rId13" w:type="first"/>
      <w:footerReference r:id="rId14" w:type="default"/>
      <w:footerReference r:id="rId15" w:type="first"/>
      <w:footerReference r:id="rId16"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Ttulo1">
    <w:name w:val="heading 1"/>
    <w:basedOn w:val="Normal"/>
    <w:next w:val="Normal"/>
    <w:link w:val="Ttulo1Car"/>
    <w:uiPriority w:val="9"/>
    <w:qFormat w:val="1"/>
    <w:rsid w:val="00367F0C"/>
    <w:pPr>
      <w:spacing w:line="276" w:lineRule="auto"/>
      <w:outlineLvl w:val="0"/>
    </w:pPr>
    <w:rPr>
      <w:b w:val="1"/>
      <w:bCs w:val="1"/>
      <w:noProof w:val="1"/>
      <w:sz w:val="36"/>
      <w:szCs w:val="36"/>
      <w:lang w:eastAsia="de-DE"/>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aconcuadrcula">
    <w:name w:val="Table Grid"/>
    <w:basedOn w:val="Tabla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odeglobo">
    <w:name w:val="Balloon Text"/>
    <w:basedOn w:val="Normal"/>
    <w:link w:val="TextodegloboCar"/>
    <w:uiPriority w:val="99"/>
    <w:semiHidden w:val="1"/>
    <w:unhideWhenUsed w:val="1"/>
    <w:rsid w:val="006B627C"/>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B627C"/>
    <w:rPr>
      <w:rFonts w:ascii="Tahoma" w:cs="Tahoma" w:hAnsi="Tahoma"/>
      <w:kern w:val="24"/>
      <w:sz w:val="16"/>
      <w:szCs w:val="16"/>
      <w:lang w:eastAsia="ar-SA"/>
    </w:rPr>
  </w:style>
  <w:style w:type="character" w:styleId="Refdecomentario">
    <w:name w:val="annotation reference"/>
    <w:basedOn w:val="Fuentedeprrafopredeter"/>
    <w:uiPriority w:val="99"/>
    <w:semiHidden w:val="1"/>
    <w:unhideWhenUsed w:val="1"/>
    <w:rsid w:val="009A6FD3"/>
    <w:rPr>
      <w:sz w:val="16"/>
      <w:szCs w:val="16"/>
    </w:rPr>
  </w:style>
  <w:style w:type="paragraph" w:styleId="Textocomentario">
    <w:name w:val="annotation text"/>
    <w:basedOn w:val="Normal"/>
    <w:link w:val="TextocomentarioCar"/>
    <w:uiPriority w:val="99"/>
    <w:unhideWhenUsed w:val="1"/>
    <w:rsid w:val="009A6FD3"/>
    <w:pPr>
      <w:spacing w:line="240" w:lineRule="auto"/>
    </w:pPr>
    <w:rPr>
      <w:sz w:val="20"/>
      <w:szCs w:val="20"/>
    </w:rPr>
  </w:style>
  <w:style w:type="character" w:styleId="TextocomentarioCar" w:customStyle="1">
    <w:name w:val="Texto comentario Car"/>
    <w:basedOn w:val="Fuentedeprrafopredeter"/>
    <w:link w:val="Textocomentario"/>
    <w:uiPriority w:val="99"/>
    <w:rsid w:val="009A6FD3"/>
    <w:rPr>
      <w:rFonts w:ascii="Arial" w:cs="Times New Roman" w:hAnsi="Arial"/>
      <w:kern w:val="24"/>
      <w:sz w:val="20"/>
      <w:szCs w:val="20"/>
      <w:lang w:eastAsia="ar-SA"/>
    </w:rPr>
  </w:style>
  <w:style w:type="paragraph" w:styleId="Asuntodelcomentario">
    <w:name w:val="annotation subject"/>
    <w:basedOn w:val="Textocomentario"/>
    <w:next w:val="Textocomentario"/>
    <w:link w:val="AsuntodelcomentarioCar"/>
    <w:uiPriority w:val="99"/>
    <w:semiHidden w:val="1"/>
    <w:unhideWhenUsed w:val="1"/>
    <w:rsid w:val="009A6FD3"/>
    <w:rPr>
      <w:b w:val="1"/>
      <w:bCs w:val="1"/>
    </w:rPr>
  </w:style>
  <w:style w:type="character" w:styleId="AsuntodelcomentarioCar" w:customStyle="1">
    <w:name w:val="Asunto del comentario Car"/>
    <w:basedOn w:val="TextocomentarioCar"/>
    <w:link w:val="Asuntodelcomentario"/>
    <w:uiPriority w:val="99"/>
    <w:semiHidden w:val="1"/>
    <w:rsid w:val="009A6FD3"/>
    <w:rPr>
      <w:rFonts w:ascii="Arial" w:cs="Times New Roman" w:hAnsi="Arial"/>
      <w:b w:val="1"/>
      <w:bCs w:val="1"/>
      <w:kern w:val="24"/>
      <w:sz w:val="20"/>
      <w:szCs w:val="20"/>
      <w:lang w:eastAsia="ar-SA"/>
    </w:rPr>
  </w:style>
  <w:style w:type="character" w:styleId="Ttulo1Car" w:customStyle="1">
    <w:name w:val="Título 1 Car"/>
    <w:basedOn w:val="Fuentedeprrafopredeter"/>
    <w:link w:val="Ttulo1"/>
    <w:uiPriority w:val="9"/>
    <w:rsid w:val="00367F0C"/>
    <w:rPr>
      <w:rFonts w:ascii="Arial" w:cs="Times New Roman" w:hAnsi="Arial"/>
      <w:b w:val="1"/>
      <w:bCs w:val="1"/>
      <w:noProof w:val="1"/>
      <w:kern w:val="24"/>
      <w:sz w:val="36"/>
      <w:szCs w:val="36"/>
      <w:lang w:eastAsia="de-DE"/>
    </w:rPr>
  </w:style>
  <w:style w:type="paragraph" w:styleId="Encabezado">
    <w:name w:val="header"/>
    <w:basedOn w:val="Normal"/>
    <w:link w:val="EncabezadoCar"/>
    <w:uiPriority w:val="99"/>
    <w:unhideWhenUsed w:val="1"/>
    <w:rsid w:val="00680509"/>
    <w:pPr>
      <w:tabs>
        <w:tab w:val="center" w:pos="4536"/>
        <w:tab w:val="right" w:pos="9072"/>
      </w:tabs>
      <w:spacing w:line="240" w:lineRule="auto"/>
    </w:pPr>
  </w:style>
  <w:style w:type="character" w:styleId="EncabezadoCar" w:customStyle="1">
    <w:name w:val="Encabezado Car"/>
    <w:basedOn w:val="Fuentedeprrafopredeter"/>
    <w:link w:val="Encabezado"/>
    <w:uiPriority w:val="99"/>
    <w:rsid w:val="00680509"/>
    <w:rPr>
      <w:rFonts w:ascii="Arial" w:cs="Times New Roman" w:hAnsi="Arial"/>
      <w:kern w:val="24"/>
      <w:szCs w:val="24"/>
      <w:lang w:eastAsia="ar-SA"/>
    </w:rPr>
  </w:style>
  <w:style w:type="paragraph" w:styleId="Piedepgina">
    <w:name w:val="footer"/>
    <w:basedOn w:val="Normal"/>
    <w:link w:val="PiedepginaCar"/>
    <w:uiPriority w:val="99"/>
    <w:unhideWhenUsed w:val="1"/>
    <w:rsid w:val="00680509"/>
    <w:pPr>
      <w:tabs>
        <w:tab w:val="center" w:pos="4536"/>
        <w:tab w:val="right" w:pos="9072"/>
      </w:tabs>
      <w:spacing w:line="240" w:lineRule="auto"/>
    </w:pPr>
  </w:style>
  <w:style w:type="character" w:styleId="PiedepginaCar" w:customStyle="1">
    <w:name w:val="Pie de página Car"/>
    <w:basedOn w:val="Fuentedeprrafopredeter"/>
    <w:link w:val="Piedepgina"/>
    <w:uiPriority w:val="99"/>
    <w:rsid w:val="00680509"/>
    <w:rPr>
      <w:rFonts w:ascii="Arial" w:cs="Times New Roman" w:hAnsi="Arial"/>
      <w:kern w:val="24"/>
      <w:szCs w:val="24"/>
      <w:lang w:eastAsia="ar-SA"/>
    </w:rPr>
  </w:style>
  <w:style w:type="character" w:styleId="NichtaufgelsteErwhnung1" w:customStyle="1">
    <w:name w:val="Nicht aufgelöste Erwähnung1"/>
    <w:basedOn w:val="Fuentedeprrafopredeter"/>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Fuentedeprrafopredeter"/>
    <w:rsid w:val="00DD6073"/>
  </w:style>
  <w:style w:type="character" w:styleId="eop" w:customStyle="1">
    <w:name w:val="eop"/>
    <w:basedOn w:val="Fuentedeprrafopredeter"/>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Fuentedeprrafopredeter"/>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Hipervnculovisitado">
    <w:name w:val="FollowedHyperlink"/>
    <w:basedOn w:val="Fuentedeprrafopredeter"/>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Fuentedeprrafopredeter"/>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Mencinsinresolver">
    <w:name w:val="Unresolved Mention"/>
    <w:basedOn w:val="Fuentedeprrafopredeter"/>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Textoennegrita">
    <w:name w:val="Strong"/>
    <w:basedOn w:val="Fuentedeprrafopredeter"/>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character" w:styleId="Mencionar">
    <w:name w:val="Mention"/>
    <w:basedOn w:val="Fuentedeprrafopredeter"/>
    <w:uiPriority w:val="99"/>
    <w:unhideWhenUsed w:val="1"/>
    <w:rsid w:val="00BD1E82"/>
    <w:rPr>
      <w:color w:val="2b579a"/>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ngatec.com/" TargetMode="External"/><Relationship Id="rId10" Type="http://schemas.openxmlformats.org/officeDocument/2006/relationships/hyperlink" Target="http://www.congatec.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congatec/events/embedded-world-2025/"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congatec.com/en/aready/areadyi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X0bYd/HmuBTDild+ZbfaqkTLA==">CgMxLjA4AHIhMTRoQkQ2Rl8ybEFPM3YxeF9YR0VSd2QzMWlaYWlvcWk4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2025-02-03T13:50:00Z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