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congatec heat pipe cooling solution for extreme environmental conditions</w:t>
      </w:r>
    </w:p>
    <w:p w:rsidR="00000000" w:rsidDel="00000000" w:rsidP="00000000" w:rsidRDefault="00000000" w:rsidRPr="00000000" w14:paraId="00000006">
      <w:pPr>
        <w:rPr>
          <w:b w:val="1"/>
          <w:sz w:val="36"/>
          <w:szCs w:val="36"/>
        </w:rPr>
      </w:pPr>
      <w:r w:rsidDel="00000000" w:rsidR="00000000" w:rsidRPr="00000000">
        <w:rPr>
          <w:rtl w:val="0"/>
        </w:rPr>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COMs just got even cooler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5760410" cy="3835400"/>
            <wp:effectExtent b="0" l="0" r="0" t="0"/>
            <wp:docPr descr="Ein Bild, das Maßstabsmodell, Im Haus, Haus enthält.&#10;&#10;KI-generierte Inhalte können fehlerhaft sein." id="1038" name="image1.jpg"/>
            <a:graphic>
              <a:graphicData uri="http://schemas.openxmlformats.org/drawingml/2006/picture">
                <pic:pic>
                  <pic:nvPicPr>
                    <pic:cNvPr descr="Ein Bild, das Maßstabsmodell, Im Haus, Haus enthält.&#10;&#10;KI-generierte Inhalte können fehlerhaft sein." id="0" name="image1.jpg"/>
                    <pic:cNvPicPr preferRelativeResize="0"/>
                  </pic:nvPicPr>
                  <pic:blipFill>
                    <a:blip r:embed="rId7"/>
                    <a:srcRect b="0" l="0" r="0" t="0"/>
                    <a:stretch>
                      <a:fillRect/>
                    </a:stretch>
                  </pic:blipFill>
                  <pic:spPr>
                    <a:xfrm>
                      <a:off x="0" y="0"/>
                      <a:ext cx="576041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Germany, March 11, 2025</w:t>
      </w:r>
      <w:r w:rsidDel="00000000" w:rsidR="00000000" w:rsidRPr="00000000">
        <w:rPr>
          <w:rtl w:val="0"/>
        </w:rPr>
        <w:t xml:space="preserve"> * * * congatec – a leading provider of embedded and edge computing technology – premiered its heat pipe cooling solution for extreme environmental conditions at embedded world 2025. The new cooling solution uses acetone as a working fluid in the heat pipes instead of water. This prevents the thermal transfer medium from freezing at extreme sub-zero temperatures and prevents damage to the cooling solution, the module, and the entire system design. The new cooling solution is also insensitive to mechanical stresses such as shock and vibration.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With these features, the acetone-based cooling solution extends the application possibilities of Computer-on-Module (COMs) to use cases involving extreme climatic and mechanical conditions, such as arctic temperatures. It enables the use of COMs in systems that previously had to rely on more elaborate, complex and cost-intensive COTS-based slot or full-custom system designs to achieve the required reliability, thus reducing costs and safeguarding performance in challenging system applications. These properties make it the ideal choice for all COM-based designs that must operate reliably within a temperature range of -40 °C to +85 °C.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Jürgen Jungbauer, Senior Product Line Manager at congatec, explains: “Our new acetone-based cooling solution extends module-based designs to include applications under extreme operating conditions that could not previously be achieved with conventional cooling solutions. Using our application-ready COMs instead of expensive slot or special solutions allows developers to optimize time-to-market while reducing development effort and the overall costs of their applications.”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Applications for the new heat pipe cooling system include autonomous and conventional vehicles that are exposed to extreme conditions, such as logistics vehicles in ports, airports, and cold stores. The new solution is equally effective in rail and aviation systems, and any other scenario where extreme temperatures and mechanical stresses could affect system reliability.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paired with the COMs Type6 conga-TC675 or the ultra-rugged conga-TC675r, the acetone-based  heat pipe cooling solution is particularly effective. It also provides an ideal cooling solution for COMs in the form factors COM-HPC Mini and Client as well as COM-HPC Server for robust edge servers. The new cooling solution will also be available as a heat pipe adapter and other configurations on request.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latest development reaffirms congatec's reputation for developing solutions that deliver efficient heat dissipation for effective cooling of intensive hotspots. The company's holistic approach to developing high-performance COMs ecosystems embraces suitable cooling solutions, carrier boards and comprehensive services, significantly simplifying and accelerating application development.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Concludes Jürgen Jungbauer: “We have always placed the greatest value on high-performance cooling for reliable computing. Our acetone-based cooling solution once again demonstrates our technological leadership in high-performance Computer-on-Module ecosystems.”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more information on congatec’s cooling solutions please visit: </w:t>
      </w:r>
      <w:hyperlink r:id="rId8">
        <w:r w:rsidDel="00000000" w:rsidR="00000000" w:rsidRPr="00000000">
          <w:rPr>
            <w:color w:val="0000ff"/>
            <w:u w:val="single"/>
            <w:rtl w:val="0"/>
          </w:rPr>
          <w:t xml:space="preserve">https://www.congatec.com/en/technologies/cooling-solutions/</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color w:val="000000"/>
          <w:sz w:val="16"/>
          <w:szCs w:val="1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 * *</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sz w:val="16"/>
          <w:szCs w:val="16"/>
          <w:rtl w:val="0"/>
        </w:rPr>
        <w:t xml:space="preserve">About congatec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sz w:val="16"/>
          <w:szCs w:val="16"/>
          <w:rtl w:val="0"/>
        </w:rPr>
        <w:br w:type="textWrapping"/>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9">
        <w:r w:rsidDel="00000000" w:rsidR="00000000" w:rsidRPr="00000000">
          <w:rPr>
            <w:color w:val="0000ff"/>
            <w:sz w:val="16"/>
            <w:szCs w:val="16"/>
            <w:u w:val="single"/>
            <w:rtl w:val="0"/>
          </w:rPr>
          <w:t xml:space="preserve">www.congatec.com</w:t>
        </w:r>
      </w:hyperlink>
      <w:r w:rsidDel="00000000" w:rsidR="00000000" w:rsidRPr="00000000">
        <w:rPr>
          <w:color w:val="000000"/>
          <w:sz w:val="16"/>
          <w:szCs w:val="16"/>
          <w:rtl w:val="0"/>
        </w:rPr>
        <w:t xml:space="preserve"> or follow us on </w:t>
      </w:r>
      <w:hyperlink r:id="rId10">
        <w:r w:rsidDel="00000000" w:rsidR="00000000" w:rsidRPr="00000000">
          <w:rPr>
            <w:color w:val="0000ff"/>
            <w:sz w:val="16"/>
            <w:szCs w:val="16"/>
            <w:u w:val="single"/>
            <w:rtl w:val="0"/>
          </w:rPr>
          <w:t xml:space="preserve">LinkedIn</w:t>
        </w:r>
      </w:hyperlink>
      <w:r w:rsidDel="00000000" w:rsidR="00000000" w:rsidRPr="00000000">
        <w:rPr>
          <w:color w:val="000000"/>
          <w:sz w:val="16"/>
          <w:szCs w:val="16"/>
          <w:rtl w:val="0"/>
        </w:rPr>
        <w:t xml:space="preserve"> and </w:t>
      </w:r>
      <w:hyperlink r:id="rId11">
        <w:r w:rsidDel="00000000" w:rsidR="00000000" w:rsidRPr="00000000">
          <w:rPr>
            <w:color w:val="0000ff"/>
            <w:sz w:val="16"/>
            <w:szCs w:val="16"/>
            <w:u w:val="single"/>
            <w:rtl w:val="0"/>
          </w:rPr>
          <w:t xml:space="preserve">YouTube</w:t>
        </w:r>
      </w:hyperlink>
      <w:r w:rsidDel="00000000" w:rsidR="00000000" w:rsidRPr="00000000">
        <w:rPr>
          <w:color w:val="000000"/>
          <w:sz w:val="16"/>
          <w:szCs w:val="16"/>
          <w:rtl w:val="0"/>
        </w:rPr>
        <w:t xml:space="preserve">.</w:t>
      </w:r>
      <w:r w:rsidDel="00000000" w:rsidR="00000000" w:rsidRPr="00000000">
        <w:rPr>
          <w:rtl w:val="0"/>
        </w:rPr>
      </w:r>
    </w:p>
    <w:p w:rsidR="00000000" w:rsidDel="00000000" w:rsidP="00000000" w:rsidRDefault="00000000" w:rsidRPr="00000000" w14:paraId="00000022">
      <w:pPr>
        <w:spacing w:after="240" w:lineRule="auto"/>
        <w:rPr/>
      </w:pPr>
      <w:r w:rsidDel="00000000" w:rsidR="00000000" w:rsidRPr="00000000">
        <w:rPr>
          <w:rtl w:val="0"/>
        </w:rPr>
        <w:br w:type="textWrapping"/>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Reader enquiries: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+49-991-2700-0</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hyperlink r:id="rId12">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Press contact congatec:</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+49-991-2700-2822</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Press contact agency</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hyperlink r:id="rId13">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Please send print publications to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Joke Klein</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4" w:type="default"/>
      <w:headerReference r:id="rId15" w:type="first"/>
      <w:footerReference r:id="rId16" w:type="default"/>
      <w:footerReference r:id="rId17"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114300</wp:posOffset>
          </wp:positionV>
          <wp:extent cx="1866583" cy="802540"/>
          <wp:effectExtent b="0" l="0" r="0" t="0"/>
          <wp:wrapNone/>
          <wp:docPr id="103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66583" cy="802540"/>
                  </a:xfrm>
                  <a:prstGeom prst="rect"/>
                  <a:ln/>
                </pic:spPr>
              </pic:pic>
            </a:graphicData>
          </a:graphic>
        </wp:anchor>
      </w:drawing>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0" w:customStyle="1">
    <w:name w:val="Table Normal1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0"/>
    <w:pPr>
      <w:spacing w:line="240" w:lineRule="auto"/>
    </w:pPr>
    <w:tblPr>
      <w:tblStyleRowBandSize w:val="1"/>
      <w:tblStyleColBandSize w:val="1"/>
      <w:tblCellMar>
        <w:left w:w="108.0" w:type="dxa"/>
        <w:right w:w="108.0" w:type="dxa"/>
      </w:tblCellMar>
    </w:tblPr>
  </w:style>
  <w:style w:type="table" w:styleId="a9" w:customStyle="1">
    <w:basedOn w:val="TableNormal10"/>
    <w:tblPr>
      <w:tblStyleRowBandSize w:val="1"/>
      <w:tblStyleColBandSize w:val="1"/>
      <w:tblCellMar>
        <w:left w:w="115.0" w:type="dxa"/>
        <w:right w:w="115.0" w:type="dxa"/>
      </w:tblCellMar>
    </w:tblPr>
  </w:style>
  <w:style w:type="table" w:styleId="aa" w:customStyle="1">
    <w:basedOn w:val="TableNormal10"/>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Erwhnung">
    <w:name w:val="Mention"/>
    <w:basedOn w:val="Absatz-Standardschriftart"/>
    <w:uiPriority w:val="99"/>
    <w:unhideWhenUsed w:val="1"/>
    <w:rsid w:val="00BD1E82"/>
    <w:rPr>
      <w:color w:val="2b579a"/>
      <w:shd w:color="auto" w:fill="e1dfdd" w:val="clear"/>
    </w:r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ongatecAE" TargetMode="External"/><Relationship Id="rId10" Type="http://schemas.openxmlformats.org/officeDocument/2006/relationships/hyperlink" Target="https://www.linkedin.com/company/congatec/" TargetMode="External"/><Relationship Id="rId13" Type="http://schemas.openxmlformats.org/officeDocument/2006/relationships/hyperlink" Target="mailto:julia.wolff@publitek.com" TargetMode="External"/><Relationship Id="rId12" Type="http://schemas.openxmlformats.org/officeDocument/2006/relationships/hyperlink" Target="http://www.congate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ngatec.co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congatec.com/en/technologies/cooling-solu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YqhAfOtAez3NqmXlyeCOPLMYA==">CgMxLjA4AHIhMU1sM3dsLWlvQ0hLTzVjQVdzalVDRTNNSWxuN2V2d1U0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2025-02-24T12:27:00Z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