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Press release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congatec presents new COM Express Compact module</w:t>
      </w:r>
    </w:p>
    <w:p w:rsidR="00000000" w:rsidDel="00000000" w:rsidP="00000000" w:rsidRDefault="00000000" w:rsidRPr="00000000" w14:paraId="0000000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Unrivaled </w:t>
      </w:r>
      <w:r w:rsidDel="00000000" w:rsidR="00000000" w:rsidRPr="00000000">
        <w:rPr>
          <w:b w:val="1"/>
          <w:sz w:val="36"/>
          <w:szCs w:val="36"/>
          <w:rtl w:val="0"/>
        </w:rPr>
        <w:t xml:space="preserve">AI performance </w:t>
      </w: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for COMs with Intel Core Ultra processors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5760410" cy="3835400"/>
            <wp:effectExtent b="0" l="0" r="0" t="0"/>
            <wp:docPr id="104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83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San Diego, CA, March 11, 2025 </w:t>
      </w:r>
      <w:r w:rsidDel="00000000" w:rsidR="00000000" w:rsidRPr="00000000">
        <w:rPr>
          <w:rtl w:val="0"/>
        </w:rPr>
        <w:t xml:space="preserve">* * * congatec – a leading provider of embedded and edge computing technology – boosts AI performance for medical, robotics, industrial, retail, and gaming applications, delivering up to 99 TOPS (Tera Operations per Second). This exceptional AI performance is driven by the new conga-TC750 Computer-on-Module (COM) in the COM Express Compact Type 6 form factor, which is powered by Intel Core Ultra Series 2 processors (codenamed Arrow Lake) with Lion Cove and Skymont P- and E-cores, providing up to 16 cores and 22 threads alongside an integrated GPU and NPU.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Developers already working with COM Express Compact platforms (95 mm x 95 mm), such as the conga-TC700, will benefit particularly from the quick upgrade path to unprecedented AI performance. Applications with high-performance requirements – especially in graphics and AI – can take advantage of the enhanced x86 and AI capabilities offered by Intel’s new System-on-Chip (SoC) with minimal development effort and a faster time-to-market.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SoC achieves 99 TOPS by combining the exceptional AI performance of the integrated Intel Xe-LPG+ graphics processor (iGPU) – optimized for parallel, high-throughput workloads and delivering up to 77 TOPS (compared to its predecessor Meteor Lake’s 18 TOPS) – with a highly energy-efficient NPU providing up to 13 TOPS, and a CPU contributing 9 TOPS for fast response times. The new SoC also features Intel’s latest Xe-LPG+ graphics engine. With its standardized module concept enabling simple upgrades and high scalability, the conga-TC750 is an excellent choice for high-performance IPCs and thin clients, allowing them to stay up to date with easy module replacements. Additionally, AI-supported medical imaging, test and measurement, and graphics-based applications benefit greatly from the new module’s significant performance.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“Our new conga-TC750 COM Express Compact modules with Intel Core Ultra Series 2 processors are ideal for applications that always require the latest performance and follow innovation cycles of three to five years. The module concept excels in these scenarios, providing an application-ready computing core that helps developers save time and costs during design-in, scale easily, and achieve a shorter time-to-market. By replacing modules while retaining the carrier board, developers avoid the expense and effort of a full system replacement or redesign,” explains Maximilian Gerstl, Product Manager at congatec.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feature set in detail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 new conga-TC750 COM Express Compact modules are powered by Intel Core Ultra Series 2 processors with a long-term availability of five years. This makes them ideal for high-performance applications requiring upgrades every three to five years.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Beyond their impressive 99 TOPS AI performance, the conga-TC750 modules also offer up to 128 GB DDR5 memory with speeds of up to 6400 MT/s and in-band ECC. An optional NVMe x4 SSD provides up to 1 TB of non-volatile storage. To meet future connectivity demands, the modules feature a 2.5 GbE port via the Intel i226 Ethernet controller with TSN support. They also provide comprehensive peripheral connectivity, including up to 16 PCIe Gen4/5 lanes, two USB4, four USB3.2 Gen2, and eight USB2.0 ports, as well as SATA, UART, GPIOs, SPI, LPC, and I2C. Supported operating systems include Microsoft Windows 11, Windows 10/11 IoT Enterprise, ctrlX OS, Ubuntu, Linux, and Yocto. The conga-TC750 also enables system consolidation through the integrated Hypervisor-on-Module from Real-Time Systems. 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Additionally, the conga-TC750 is available as an application-ready aReady.COM module and can, for instance, be pre-configured with licensed ctrlX OS from Bosch Rexroth and Ubuntu Pro. The aReady.VT option allows developers to consolidate multiple workloads, such as real-time control, HMI, AI, and IoT gateway functions, on a single module. For IIoT connectivity, congatec offers its aReady.IOT software building blocks, which enable data exchange, maintenance/management of the module, carrier, and peripherals, as well as cloud connectivity upon request. To further simplify application development, congatec provides an extensive ecosystem that includes evaluation and production-ready carrier boards, customized cooling solutions, comprehensive documentation, design-in services, and high-speed signal integrity measurements.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new conga-TC750 COM Express Compact modules are available in the following versions: </w:t>
      </w:r>
    </w:p>
    <w:tbl>
      <w:tblPr>
        <w:tblStyle w:val="Table1"/>
        <w:tblW w:w="86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992"/>
        <w:gridCol w:w="1701"/>
        <w:gridCol w:w="1134"/>
        <w:gridCol w:w="1701"/>
        <w:gridCol w:w="1559"/>
        <w:tblGridChange w:id="0">
          <w:tblGrid>
            <w:gridCol w:w="1555"/>
            <w:gridCol w:w="992"/>
            <w:gridCol w:w="1701"/>
            <w:gridCol w:w="1134"/>
            <w:gridCol w:w="1701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Base TDP [W]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Cores/ (P, E + LP-E)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Threads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Base clock / Turbo [GHz]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Execution Units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conga-TC750/ultra9-285H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 (6 + 8 + 2)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P-cores: 2.9 / 5.4</w:t>
            </w:r>
          </w:p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E-cores: 2.7 / 4.5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LP E-cores: 1.0 / 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conga-TC750/ultra7-255H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 (6 + 8 + 2)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P-cores: 2.0 / 5.1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E-cores: 1.5 / 4.4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LP E-cores: 0.7 / 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128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conga-TC750/ultra7-255U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 (2 + 8 + 2)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P-cores: 2.0 / 5.2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E-cores: 1.7 / 4.2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LP E-cores: 0.7 / 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conga-TC750/ultra5-225H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 (4 + 8 + 2)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P-cores: 1.7 / 4.9</w:t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E-cores: 1.3 / 4.3</w:t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LP E-cores: 0.7 / 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conga-TC750/ultra5-225U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 (2 + 8 + 2)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P-cores: 1.5 / 4.8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E-cores: 1.3 / 3.8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LP E-cores: 0.7 / 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64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Further information about the new conga-TC750 modules is available at: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https://www.congatec.com/en/products/com-express-type-6/conga-tc750/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For further information about the COM Express standard, see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https://www.congatec.com/en/technologies/com-express/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color w:val="000000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 *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83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About congatec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6"/>
          <w:szCs w:val="16"/>
          <w:rtl w:val="0"/>
        </w:rPr>
        <w:br w:type="textWrapping"/>
        <w:t xml:space="preserve">congatec is a 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 congatec's high-performance aReady. ecosystems simplify and accelerate the solution development,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0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www.congatec.com</w:t>
        </w:r>
      </w:hyperlink>
      <w:r w:rsidDel="00000000" w:rsidR="00000000" w:rsidRPr="00000000">
        <w:rPr>
          <w:sz w:val="16"/>
          <w:szCs w:val="16"/>
          <w:rtl w:val="0"/>
        </w:rPr>
        <w:t xml:space="preserve"> or follow us on </w:t>
      </w:r>
      <w:hyperlink r:id="rId11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16"/>
          <w:szCs w:val="16"/>
          <w:rtl w:val="0"/>
        </w:rPr>
        <w:t xml:space="preserve"> and </w:t>
      </w:r>
      <w:hyperlink r:id="rId12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YouTube</w:t>
        </w:r>
      </w:hyperlink>
      <w:r w:rsidDel="00000000" w:rsidR="00000000" w:rsidRPr="00000000">
        <w:rPr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Reader Enquiries: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/>
      </w:pPr>
      <w:r w:rsidDel="00000000" w:rsidR="00000000" w:rsidRPr="00000000">
        <w:rPr>
          <w:rtl w:val="0"/>
        </w:rPr>
        <w:t xml:space="preserve">congatec</w:t>
      </w:r>
    </w:p>
    <w:p w:rsidR="00000000" w:rsidDel="00000000" w:rsidP="00000000" w:rsidRDefault="00000000" w:rsidRPr="00000000" w14:paraId="00000058">
      <w:pPr>
        <w:spacing w:line="240" w:lineRule="auto"/>
        <w:rPr/>
      </w:pPr>
      <w:r w:rsidDel="00000000" w:rsidR="00000000" w:rsidRPr="00000000">
        <w:rPr>
          <w:rtl w:val="0"/>
        </w:rPr>
        <w:t xml:space="preserve">Farhad Sharifi</w:t>
      </w:r>
    </w:p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rtl w:val="0"/>
        </w:rPr>
        <w:t xml:space="preserve">Phone: 858-457-2600</w:t>
      </w:r>
    </w:p>
    <w:p w:rsidR="00000000" w:rsidDel="00000000" w:rsidP="00000000" w:rsidRDefault="00000000" w:rsidRPr="00000000" w14:paraId="0000005A">
      <w:pPr>
        <w:spacing w:line="240" w:lineRule="auto"/>
        <w:rPr/>
      </w:pP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Farhad.Sharifi@congatec.com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color w:val="0000ff"/>
          <w:u w:val="single"/>
        </w:rPr>
      </w:pP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www.congatec.us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Press Contact:</w:t>
      </w:r>
    </w:p>
    <w:p w:rsidR="00000000" w:rsidDel="00000000" w:rsidP="00000000" w:rsidRDefault="00000000" w:rsidRPr="00000000" w14:paraId="0000005E">
      <w:pPr>
        <w:spacing w:line="240" w:lineRule="auto"/>
        <w:rPr/>
      </w:pPr>
      <w:r w:rsidDel="00000000" w:rsidR="00000000" w:rsidRPr="00000000">
        <w:rPr>
          <w:rtl w:val="0"/>
        </w:rPr>
        <w:t xml:space="preserve">congatec </w:t>
      </w:r>
    </w:p>
    <w:p w:rsidR="00000000" w:rsidDel="00000000" w:rsidP="00000000" w:rsidRDefault="00000000" w:rsidRPr="00000000" w14:paraId="0000005F">
      <w:pPr>
        <w:spacing w:line="240" w:lineRule="auto"/>
        <w:rPr/>
      </w:pPr>
      <w:r w:rsidDel="00000000" w:rsidR="00000000" w:rsidRPr="00000000">
        <w:rPr>
          <w:rtl w:val="0"/>
        </w:rPr>
        <w:t xml:space="preserve">Janene Rae</w:t>
      </w:r>
    </w:p>
    <w:p w:rsidR="00000000" w:rsidDel="00000000" w:rsidP="00000000" w:rsidRDefault="00000000" w:rsidRPr="00000000" w14:paraId="00000060">
      <w:pPr>
        <w:spacing w:line="240" w:lineRule="auto"/>
        <w:rPr/>
      </w:pPr>
      <w:r w:rsidDel="00000000" w:rsidR="00000000" w:rsidRPr="00000000">
        <w:rPr>
          <w:rtl w:val="0"/>
        </w:rPr>
        <w:t xml:space="preserve">Phone: 858-457-2600</w:t>
      </w:r>
    </w:p>
    <w:p w:rsidR="00000000" w:rsidDel="00000000" w:rsidP="00000000" w:rsidRDefault="00000000" w:rsidRPr="00000000" w14:paraId="00000061">
      <w:pPr>
        <w:spacing w:line="240" w:lineRule="auto"/>
        <w:rPr/>
      </w:pP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janene.rae@congatec.com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color w:val="0000ff"/>
          <w:u w:val="single"/>
        </w:rPr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www.congatec.us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 Agency: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Publitek GmbH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Julia Wolff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+49 (0)4181 968098-18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/>
      </w:pPr>
      <w:hyperlink r:id="rId17">
        <w:r w:rsidDel="00000000" w:rsidR="00000000" w:rsidRPr="00000000">
          <w:rPr>
            <w:color w:val="0000ff"/>
            <w:u w:val="single"/>
            <w:rtl w:val="0"/>
          </w:rPr>
          <w:t xml:space="preserve">julia.wolff@publitek.com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Bremer Straße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21244 Buchholz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right="283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Please send print publications to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Publitek GmbH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Joke Klein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Bremer Straße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21244 Buchholz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footerReference r:id="rId20" w:type="default"/>
      <w:footerReference r:id="rId21" w:type="first"/>
      <w:footerReference r:id="rId22" w:type="even"/>
      <w:pgSz w:h="16838" w:w="11906" w:orient="portrait"/>
      <w:pgMar w:bottom="1134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060.0" w:type="dxa"/>
      <w:jc w:val="left"/>
      <w:tblLayout w:type="fixed"/>
      <w:tblLook w:val="0600"/>
    </w:tblPr>
    <w:tblGrid>
      <w:gridCol w:w="3020"/>
      <w:gridCol w:w="3020"/>
      <w:gridCol w:w="3020"/>
      <w:tblGridChange w:id="0">
        <w:tblGrid>
          <w:gridCol w:w="3020"/>
          <w:gridCol w:w="3020"/>
          <w:gridCol w:w="30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8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81965" cy="481965"/>
              <wp:effectExtent b="0" l="0" r="0" t="0"/>
              <wp:wrapNone/>
              <wp:docPr descr="congatec confidential information | This information is confidential and solely for the use of the recipient or entity and may not be reproduced or circulated without congatec prior written consent" id="104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81965" cy="481965"/>
              <wp:effectExtent b="0" l="0" r="0" t="0"/>
              <wp:wrapNone/>
              <wp:docPr descr="congatec confidential information | This information is confidential and solely for the use of the recipient or entity and may not be reproduced or circulated without congatec prior written consent" id="1041" name="image2.png"/>
              <a:graphic>
                <a:graphicData uri="http://schemas.openxmlformats.org/drawingml/2006/picture">
                  <pic:pic>
                    <pic:nvPicPr>
                      <pic:cNvPr descr="congatec confidential information | This information is confidential and solely for the use of the recipient or entity and may not be reproduced or circulated without congatec prior written consent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965" cy="481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4048125</wp:posOffset>
          </wp:positionH>
          <wp:positionV relativeFrom="paragraph">
            <wp:posOffset>114300</wp:posOffset>
          </wp:positionV>
          <wp:extent cx="1866583" cy="802540"/>
          <wp:effectExtent b="0" l="0" r="0" t="0"/>
          <wp:wrapNone/>
          <wp:docPr id="104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583" cy="80254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9060.0" w:type="dxa"/>
      <w:jc w:val="left"/>
      <w:tblLayout w:type="fixed"/>
      <w:tblLook w:val="0600"/>
    </w:tblPr>
    <w:tblGrid>
      <w:gridCol w:w="3020"/>
      <w:gridCol w:w="3020"/>
      <w:gridCol w:w="3020"/>
      <w:tblGridChange w:id="0">
        <w:tblGrid>
          <w:gridCol w:w="3020"/>
          <w:gridCol w:w="3020"/>
          <w:gridCol w:w="30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7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76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76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750178"/>
    <w:pPr>
      <w:suppressAutoHyphens w:val="1"/>
    </w:pPr>
    <w:rPr>
      <w:rFonts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367F0C"/>
    <w:pPr>
      <w:spacing w:line="276" w:lineRule="auto"/>
      <w:outlineLvl w:val="0"/>
    </w:pPr>
    <w:rPr>
      <w:b w:val="1"/>
      <w:bCs w:val="1"/>
      <w:noProof w:val="1"/>
      <w:sz w:val="36"/>
      <w:szCs w:val="36"/>
      <w:lang w:eastAsia="de-DE"/>
    </w:rPr>
  </w:style>
  <w:style w:type="paragraph" w:styleId="berschrift2">
    <w:name w:val="heading 2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enraster">
    <w:name w:val="Table Grid"/>
    <w:basedOn w:val="NormaleTabelle"/>
    <w:uiPriority w:val="39"/>
    <w:rsid w:val="009E3CEF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rsid w:val="00B54193"/>
    <w:rPr>
      <w:color w:val="0000ff"/>
      <w:u w:val="single"/>
    </w:rPr>
  </w:style>
  <w:style w:type="paragraph" w:styleId="Standard1" w:customStyle="1">
    <w:name w:val="Standard1"/>
    <w:uiPriority w:val="99"/>
    <w:rsid w:val="00467E79"/>
    <w:pPr>
      <w:suppressAutoHyphens w:val="1"/>
      <w:spacing w:line="240" w:lineRule="auto"/>
    </w:pPr>
    <w:rPr>
      <w:rFonts w:ascii="Times New Roman" w:cs="Times New Roman" w:hAnsi="Times New Roman"/>
      <w:kern w:val="1"/>
      <w:sz w:val="24"/>
      <w:szCs w:val="24"/>
      <w:lang w:eastAsia="ar-SA"/>
    </w:rPr>
  </w:style>
  <w:style w:type="character" w:styleId="Kommentarzeichen1" w:customStyle="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6B627C"/>
    <w:pPr>
      <w:spacing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6B627C"/>
    <w:rPr>
      <w:rFonts w:ascii="Tahoma" w:cs="Tahoma" w:hAnsi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 w:val="1"/>
    <w:rsid w:val="009A6FD3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9A6FD3"/>
    <w:rPr>
      <w:rFonts w:ascii="Arial" w:cs="Times New Roman" w:hAnsi="Arial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9A6FD3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9A6FD3"/>
    <w:rPr>
      <w:rFonts w:ascii="Arial" w:cs="Times New Roman" w:hAnsi="Arial"/>
      <w:b w:val="1"/>
      <w:bCs w:val="1"/>
      <w:kern w:val="24"/>
      <w:sz w:val="20"/>
      <w:szCs w:val="20"/>
      <w:lang w:eastAsia="ar-SA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367F0C"/>
    <w:rPr>
      <w:rFonts w:ascii="Arial" w:cs="Times New Roman" w:hAnsi="Arial"/>
      <w:b w:val="1"/>
      <w:bCs w:val="1"/>
      <w:noProof w:val="1"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 w:val="1"/>
    <w:rsid w:val="00680509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680509"/>
    <w:rPr>
      <w:rFonts w:ascii="Arial" w:cs="Times New Roman" w:hAnsi="Arial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 w:val="1"/>
    <w:rsid w:val="00680509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680509"/>
    <w:rPr>
      <w:rFonts w:ascii="Arial" w:cs="Times New Roman" w:hAnsi="Arial"/>
      <w:kern w:val="24"/>
      <w:szCs w:val="24"/>
      <w:lang w:eastAsia="ar-SA"/>
    </w:rPr>
  </w:style>
  <w:style w:type="character" w:styleId="NichtaufgelsteErwhnung1" w:customStyle="1">
    <w:name w:val="Nicht aufgelöste Erwähnung1"/>
    <w:basedOn w:val="Absatz-Standardschriftart"/>
    <w:uiPriority w:val="99"/>
    <w:semiHidden w:val="1"/>
    <w:unhideWhenUsed w:val="1"/>
    <w:rsid w:val="00835D39"/>
    <w:rPr>
      <w:color w:val="605e5c"/>
      <w:shd w:color="auto" w:fill="e1dfdd" w:val="clear"/>
    </w:rPr>
  </w:style>
  <w:style w:type="paragraph" w:styleId="paragraph" w:customStyle="1">
    <w:name w:val="paragraph"/>
    <w:basedOn w:val="Standard"/>
    <w:rsid w:val="00DD6073"/>
    <w:pPr>
      <w:suppressAutoHyphens w:val="0"/>
      <w:spacing w:after="100" w:afterAutospacing="1" w:before="100" w:before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styleId="normaltextrun" w:customStyle="1">
    <w:name w:val="normaltextrun"/>
    <w:basedOn w:val="Absatz-Standardschriftart"/>
    <w:rsid w:val="00DD6073"/>
  </w:style>
  <w:style w:type="character" w:styleId="eop" w:customStyle="1">
    <w:name w:val="eop"/>
    <w:basedOn w:val="Absatz-Standardschriftart"/>
    <w:rsid w:val="00DD6073"/>
  </w:style>
  <w:style w:type="paragraph" w:styleId="StandardWeb">
    <w:name w:val="Normal (Web)"/>
    <w:basedOn w:val="Standard"/>
    <w:uiPriority w:val="99"/>
    <w:semiHidden w:val="1"/>
    <w:unhideWhenUsed w:val="1"/>
    <w:rsid w:val="00D602EB"/>
    <w:pPr>
      <w:suppressAutoHyphens w:val="0"/>
      <w:spacing w:after="100" w:afterAutospacing="1" w:before="100" w:beforeAutospacing="1" w:line="240" w:lineRule="auto"/>
    </w:pPr>
    <w:rPr>
      <w:rFonts w:ascii="Times New Roman" w:hAnsi="Times New Roman"/>
      <w:kern w:val="0"/>
      <w:sz w:val="24"/>
      <w:lang w:eastAsia="de-DE"/>
    </w:rPr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erarbeitung">
    <w:name w:val="Revision"/>
    <w:hidden w:val="1"/>
    <w:uiPriority w:val="99"/>
    <w:semiHidden w:val="1"/>
    <w:rsid w:val="00B30A97"/>
    <w:pPr>
      <w:spacing w:line="240" w:lineRule="auto"/>
    </w:pPr>
    <w:rPr>
      <w:rFonts w:cs="Times New Roman"/>
      <w:kern w:val="24"/>
      <w:szCs w:val="24"/>
      <w:lang w:eastAsia="ar-SA"/>
    </w:rPr>
  </w:style>
  <w:style w:type="character" w:styleId="Erwhnung1" w:customStyle="1">
    <w:name w:val="Erwähnung1"/>
    <w:basedOn w:val="Absatz-Standardschriftart"/>
    <w:uiPriority w:val="99"/>
    <w:unhideWhenUsed w:val="1"/>
    <w:rsid w:val="009C2FFF"/>
    <w:rPr>
      <w:color w:val="2b579a"/>
      <w:shd w:color="auto" w:fill="e1dfdd" w:val="clear"/>
    </w:rPr>
  </w:style>
  <w:style w:type="table" w:styleId="TableNormal100" w:customStyle="1">
    <w:name w:val="Table Normal10"/>
    <w:rsid w:val="00323AC8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BesuchterLink">
    <w:name w:val="FollowedHyperlink"/>
    <w:basedOn w:val="Absatz-Standardschriftart"/>
    <w:uiPriority w:val="99"/>
    <w:semiHidden w:val="1"/>
    <w:unhideWhenUsed w:val="1"/>
    <w:rsid w:val="00667034"/>
    <w:rPr>
      <w:color w:val="800080" w:themeColor="followedHyperlink"/>
      <w:u w:val="single"/>
    </w:rPr>
  </w:style>
  <w:style w:type="table" w:styleId="a" w:customStyle="1">
    <w:basedOn w:val="NormalTable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NormalTable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NormalTable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f01" w:customStyle="1">
    <w:name w:val="cf01"/>
    <w:basedOn w:val="Absatz-Standardschriftart"/>
    <w:rsid w:val="00E90C2C"/>
    <w:rPr>
      <w:rFonts w:ascii="Segoe UI" w:cs="Segoe UI" w:hAnsi="Segoe UI" w:hint="default"/>
      <w:sz w:val="18"/>
      <w:szCs w:val="18"/>
    </w:rPr>
  </w:style>
  <w:style w:type="paragraph" w:styleId="pf0" w:customStyle="1">
    <w:name w:val="pf0"/>
    <w:basedOn w:val="Standard"/>
    <w:rsid w:val="002A77C0"/>
    <w:pPr>
      <w:suppressAutoHyphens w:val="0"/>
      <w:spacing w:after="100" w:afterAutospacing="1" w:before="100" w:beforeAutospacing="1" w:line="240" w:lineRule="auto"/>
    </w:pPr>
    <w:rPr>
      <w:rFonts w:ascii="Times New Roman" w:eastAsia="Times New Roman" w:hAnsi="Times New Roman"/>
      <w:kern w:val="0"/>
      <w:sz w:val="24"/>
      <w:lang w:eastAsia="zh-TW"/>
    </w:r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6E4BEE"/>
    <w:rPr>
      <w:color w:val="605e5c"/>
      <w:shd w:color="auto" w:fill="e1dfdd" w:val="clear"/>
    </w:rPr>
  </w:style>
  <w:style w:type="table" w:styleId="a8" w:customStyle="1">
    <w:basedOn w:val="TableNormal1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Fett">
    <w:name w:val="Strong"/>
    <w:basedOn w:val="Absatz-Standardschriftart"/>
    <w:uiPriority w:val="22"/>
    <w:qFormat w:val="1"/>
    <w:rsid w:val="00EF3419"/>
    <w:rPr>
      <w:b w:val="1"/>
      <w:bCs w:val="1"/>
    </w:rPr>
  </w:style>
  <w:style w:type="table" w:styleId="ab" w:customStyle="1">
    <w:basedOn w:val="TableNormal0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enabsatz">
    <w:name w:val="List Paragraph"/>
    <w:basedOn w:val="Standard"/>
    <w:uiPriority w:val="72"/>
    <w:qFormat w:val="1"/>
    <w:rsid w:val="002C0D1E"/>
    <w:pPr>
      <w:suppressAutoHyphens w:val="0"/>
      <w:spacing w:line="240" w:lineRule="auto"/>
      <w:ind w:left="720"/>
      <w:contextualSpacing w:val="1"/>
    </w:pPr>
    <w:rPr>
      <w:rFonts w:cs="Arial" w:eastAsia="Times New Roman"/>
      <w:noProof w:val="1"/>
      <w:kern w:val="0"/>
      <w:sz w:val="24"/>
      <w:lang w:eastAsia="en-US" w:val="en-GB"/>
    </w:rPr>
  </w:style>
  <w:style w:type="table" w:styleId="a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NormaleTabell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NormaleTabell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NormaleTabelle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www.linkedin.com/company/congatec/" TargetMode="External"/><Relationship Id="rId22" Type="http://schemas.openxmlformats.org/officeDocument/2006/relationships/footer" Target="footer3.xml"/><Relationship Id="rId10" Type="http://schemas.openxmlformats.org/officeDocument/2006/relationships/hyperlink" Target="http://www.congatec.com" TargetMode="External"/><Relationship Id="rId21" Type="http://schemas.openxmlformats.org/officeDocument/2006/relationships/footer" Target="footer2.xml"/><Relationship Id="rId13" Type="http://schemas.openxmlformats.org/officeDocument/2006/relationships/hyperlink" Target="mailto:Farhad.Sharifi@congatec.com" TargetMode="External"/><Relationship Id="rId12" Type="http://schemas.openxmlformats.org/officeDocument/2006/relationships/hyperlink" Target="https://www.youtube.com/congatecA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ngatec.com/en/technologies/com-express/" TargetMode="External"/><Relationship Id="rId15" Type="http://schemas.openxmlformats.org/officeDocument/2006/relationships/hyperlink" Target="mailto:janene.rae@congatec.com" TargetMode="External"/><Relationship Id="rId14" Type="http://schemas.openxmlformats.org/officeDocument/2006/relationships/hyperlink" Target="http://www.congatec.us" TargetMode="External"/><Relationship Id="rId17" Type="http://schemas.openxmlformats.org/officeDocument/2006/relationships/hyperlink" Target="mailto:julia.wolff@publitek.com" TargetMode="External"/><Relationship Id="rId16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3.jpg"/><Relationship Id="rId8" Type="http://schemas.openxmlformats.org/officeDocument/2006/relationships/hyperlink" Target="https://www.congatec.com/en/products/com-express-type-6/conga-tc750/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2VLVYQ7tXs+u1B+OwK5rQtzDg==">CgMxLjAyCGguZ2pkZ3hzOAByITFkb2tMT0FlbzdRRExLRF8zaHNRMTQyYlhfcmZBUUYxWQ==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2025-02-27T08:50:00Z</dcterms:created>
  <dc:creator>Maria Scharnberg (DE)</dc:creator>
</cp:coreProperties>
</file>