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Default="00D257E3" w:rsidP="000E18CA">
      <w:pPr>
        <w:pStyle w:val="berschrift1"/>
      </w:pPr>
    </w:p>
    <w:p w14:paraId="758C9778" w14:textId="38C18FF5" w:rsidR="00191F41" w:rsidRPr="00D32C97" w:rsidRDefault="00573859" w:rsidP="00127761">
      <w:pPr>
        <w:pStyle w:val="berschrift1"/>
        <w:spacing w:line="240" w:lineRule="auto"/>
      </w:pPr>
      <w:r w:rsidRPr="00573859">
        <w:rPr>
          <w:noProof/>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127761">
      <w:pPr>
        <w:pStyle w:val="berschrift1"/>
        <w:spacing w:line="240" w:lineRule="auto"/>
      </w:pPr>
    </w:p>
    <w:p w14:paraId="4FFC114D" w14:textId="77777777" w:rsidR="00C958C5" w:rsidRPr="000350F4" w:rsidRDefault="00C958C5" w:rsidP="00127761">
      <w:pPr>
        <w:pStyle w:val="berschrift1"/>
        <w:spacing w:line="240" w:lineRule="auto"/>
      </w:pPr>
    </w:p>
    <w:p w14:paraId="1430A0ED" w14:textId="6F87BB70" w:rsidR="004B35A4" w:rsidRPr="009507AA" w:rsidRDefault="00A535A8" w:rsidP="00127761">
      <w:pPr>
        <w:spacing w:line="240" w:lineRule="auto"/>
      </w:pPr>
      <w:r>
        <w:t xml:space="preserve">More </w:t>
      </w:r>
      <w:r w:rsidR="00F43876">
        <w:t>c</w:t>
      </w:r>
      <w:r w:rsidRPr="00A535A8">
        <w:t>onsistent</w:t>
      </w:r>
      <w:r>
        <w:t xml:space="preserve"> </w:t>
      </w:r>
      <w:r w:rsidR="00F43876">
        <w:t>p</w:t>
      </w:r>
      <w:r>
        <w:t xml:space="preserve">ower for COM-HPC </w:t>
      </w:r>
      <w:r w:rsidR="00F43876">
        <w:t>c</w:t>
      </w:r>
      <w:r>
        <w:t xml:space="preserve">lient </w:t>
      </w:r>
      <w:r w:rsidR="00F43876">
        <w:t>p</w:t>
      </w:r>
      <w:r>
        <w:t>latforms</w:t>
      </w:r>
    </w:p>
    <w:p w14:paraId="289A516E" w14:textId="37F38BA6" w:rsidR="00991C13" w:rsidRPr="009507AA" w:rsidRDefault="00991C13" w:rsidP="00127761">
      <w:pPr>
        <w:spacing w:line="240" w:lineRule="auto"/>
        <w:rPr>
          <w:rStyle w:val="Kommentarzeichen1"/>
          <w:sz w:val="22"/>
          <w:szCs w:val="22"/>
        </w:rPr>
      </w:pPr>
    </w:p>
    <w:p w14:paraId="0CC9EB43" w14:textId="63E258A7" w:rsidR="00D82DFF" w:rsidRDefault="00A535A8" w:rsidP="00127761">
      <w:pPr>
        <w:spacing w:line="240" w:lineRule="auto"/>
        <w:rPr>
          <w:b/>
          <w:sz w:val="36"/>
          <w:szCs w:val="36"/>
        </w:rPr>
      </w:pPr>
      <w:r w:rsidRPr="00A535A8">
        <w:rPr>
          <w:b/>
          <w:sz w:val="36"/>
          <w:szCs w:val="36"/>
        </w:rPr>
        <w:t>conga-HPC/</w:t>
      </w:r>
      <w:proofErr w:type="spellStart"/>
      <w:r w:rsidRPr="00A535A8">
        <w:rPr>
          <w:b/>
          <w:sz w:val="36"/>
          <w:szCs w:val="36"/>
        </w:rPr>
        <w:t>cBLS</w:t>
      </w:r>
      <w:proofErr w:type="spellEnd"/>
      <w:r w:rsidRPr="00A535A8">
        <w:rPr>
          <w:b/>
          <w:sz w:val="36"/>
          <w:szCs w:val="36"/>
        </w:rPr>
        <w:t xml:space="preserve"> </w:t>
      </w:r>
      <w:r w:rsidR="00F43876">
        <w:rPr>
          <w:b/>
          <w:sz w:val="36"/>
          <w:szCs w:val="36"/>
        </w:rPr>
        <w:t>a</w:t>
      </w:r>
      <w:r w:rsidRPr="00A535A8">
        <w:rPr>
          <w:b/>
          <w:sz w:val="36"/>
          <w:szCs w:val="36"/>
        </w:rPr>
        <w:t xml:space="preserve">ccelerates </w:t>
      </w:r>
      <w:r w:rsidR="00F43876">
        <w:rPr>
          <w:b/>
          <w:sz w:val="36"/>
          <w:szCs w:val="36"/>
        </w:rPr>
        <w:t>d</w:t>
      </w:r>
      <w:r w:rsidRPr="00A535A8">
        <w:rPr>
          <w:b/>
          <w:sz w:val="36"/>
          <w:szCs w:val="36"/>
        </w:rPr>
        <w:t xml:space="preserve">emanding </w:t>
      </w:r>
      <w:r w:rsidR="00F43876">
        <w:rPr>
          <w:b/>
          <w:sz w:val="36"/>
          <w:szCs w:val="36"/>
        </w:rPr>
        <w:t>e</w:t>
      </w:r>
      <w:r w:rsidRPr="00A535A8">
        <w:rPr>
          <w:b/>
          <w:sz w:val="36"/>
          <w:szCs w:val="36"/>
        </w:rPr>
        <w:t xml:space="preserve">dge </w:t>
      </w:r>
      <w:r w:rsidR="00F43876">
        <w:rPr>
          <w:b/>
          <w:sz w:val="36"/>
          <w:szCs w:val="36"/>
        </w:rPr>
        <w:t>d</w:t>
      </w:r>
      <w:r w:rsidRPr="00A535A8">
        <w:rPr>
          <w:b/>
          <w:sz w:val="36"/>
          <w:szCs w:val="36"/>
        </w:rPr>
        <w:t>esigns</w:t>
      </w:r>
    </w:p>
    <w:p w14:paraId="6F043AA3" w14:textId="58ECDB00" w:rsidR="007055BE" w:rsidRDefault="00A535A8" w:rsidP="00127761">
      <w:pPr>
        <w:spacing w:line="240" w:lineRule="auto"/>
        <w:rPr>
          <w:rStyle w:val="Kommentarzeichen1"/>
          <w:b/>
          <w:sz w:val="22"/>
          <w:szCs w:val="22"/>
        </w:rPr>
      </w:pPr>
      <w:r w:rsidRPr="00C32603">
        <w:rPr>
          <w:noProof/>
        </w:rPr>
        <w:drawing>
          <wp:inline distT="0" distB="0" distL="0" distR="0" wp14:anchorId="119A6F96" wp14:editId="588E3B55">
            <wp:extent cx="5579745" cy="3408810"/>
            <wp:effectExtent l="0" t="0" r="1905" b="1270"/>
            <wp:docPr id="1593335538" name="image1.jpg" descr="Ein Bild, das Elektronik, Elektronisches Bauteil, Elektrisches Bauelement, passives Bauelemen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593335538" name="image1.jpg" descr="Ein Bild, das Elektronik, Elektronisches Bauteil, Elektrisches Bauelement, passives Bauelement enthält.&#10;&#10;KI-generierte Inhalte können fehlerhaft sein."/>
                    <pic:cNvPicPr preferRelativeResize="0"/>
                  </pic:nvPicPr>
                  <pic:blipFill>
                    <a:blip r:embed="rId13"/>
                    <a:srcRect/>
                    <a:stretch>
                      <a:fillRect/>
                    </a:stretch>
                  </pic:blipFill>
                  <pic:spPr>
                    <a:xfrm>
                      <a:off x="0" y="0"/>
                      <a:ext cx="5579745" cy="3408810"/>
                    </a:xfrm>
                    <a:prstGeom prst="rect">
                      <a:avLst/>
                    </a:prstGeom>
                    <a:ln/>
                  </pic:spPr>
                </pic:pic>
              </a:graphicData>
            </a:graphic>
          </wp:inline>
        </w:drawing>
      </w:r>
    </w:p>
    <w:p w14:paraId="2227B00A" w14:textId="622B14DD" w:rsidR="00CC2CB0" w:rsidRDefault="00CC2CB0" w:rsidP="00127761">
      <w:pPr>
        <w:spacing w:line="240" w:lineRule="auto"/>
        <w:rPr>
          <w:rStyle w:val="Kommentarzeichen1"/>
          <w:b/>
          <w:sz w:val="22"/>
          <w:szCs w:val="22"/>
        </w:rPr>
      </w:pPr>
    </w:p>
    <w:p w14:paraId="3BEA9BCD" w14:textId="659520B7" w:rsidR="000A5B71" w:rsidRDefault="00590E32" w:rsidP="000E18CA">
      <w:pPr>
        <w:rPr>
          <w:rStyle w:val="Kommentarzeichen1"/>
          <w:sz w:val="22"/>
          <w:szCs w:val="22"/>
        </w:rPr>
      </w:pPr>
      <w:r w:rsidRPr="00590E32">
        <w:rPr>
          <w:b/>
        </w:rPr>
        <w:t xml:space="preserve">San Diego, CA, </w:t>
      </w:r>
      <w:r w:rsidR="00482779" w:rsidRPr="00482779">
        <w:rPr>
          <w:b/>
          <w:bCs/>
        </w:rPr>
        <w:t xml:space="preserve">March 10, 2026 </w:t>
      </w:r>
      <w:r w:rsidRPr="00590E32">
        <w:rPr>
          <w:b/>
        </w:rPr>
        <w:t xml:space="preserve">* * * </w:t>
      </w:r>
      <w:proofErr w:type="spellStart"/>
      <w:r w:rsidR="000A5B71" w:rsidRPr="505023B8">
        <w:rPr>
          <w:rStyle w:val="Kommentarzeichen1"/>
          <w:sz w:val="22"/>
          <w:szCs w:val="22"/>
        </w:rPr>
        <w:t>congatec</w:t>
      </w:r>
      <w:proofErr w:type="spellEnd"/>
      <w:r w:rsidR="000A5B71" w:rsidRPr="505023B8">
        <w:rPr>
          <w:rStyle w:val="Kommentarzeichen1"/>
          <w:sz w:val="22"/>
          <w:szCs w:val="22"/>
        </w:rPr>
        <w:t xml:space="preserve"> – </w:t>
      </w:r>
      <w:r w:rsidR="00AC5247">
        <w:t>the</w:t>
      </w:r>
      <w:r w:rsidR="00AC5247" w:rsidRPr="009507AA">
        <w:t xml:space="preserve"> leading vendor of embedded and </w:t>
      </w:r>
      <w:r w:rsidR="00AC5247" w:rsidRPr="004E283C">
        <w:t xml:space="preserve">edge computing technology </w:t>
      </w:r>
      <w:r w:rsidR="000A5B71" w:rsidRPr="505023B8">
        <w:rPr>
          <w:rStyle w:val="Kommentarzeichen1"/>
          <w:sz w:val="22"/>
          <w:szCs w:val="22"/>
        </w:rPr>
        <w:t xml:space="preserve">– </w:t>
      </w:r>
      <w:r w:rsidR="00A535A8">
        <w:t>is expanding the performance envelope of its COM-HPC Client Size C Computer-on-Modules (COMs), conga-HPC/</w:t>
      </w:r>
      <w:proofErr w:type="spellStart"/>
      <w:r w:rsidR="00A535A8">
        <w:t>cBLS</w:t>
      </w:r>
      <w:proofErr w:type="spellEnd"/>
      <w:r w:rsidR="00A535A8">
        <w:t>, with new Intel</w:t>
      </w:r>
      <w:r w:rsidR="00A535A8" w:rsidRPr="00CA4602">
        <w:rPr>
          <w:vertAlign w:val="superscript"/>
        </w:rPr>
        <w:t>®</w:t>
      </w:r>
      <w:r w:rsidR="00A535A8">
        <w:t xml:space="preserve"> Core™ Series 2 variants (codename: Bartlett Lake-S) based exclusively on high-performance P-cores.</w:t>
      </w:r>
      <w:r w:rsidR="00127761">
        <w:rPr>
          <w:rStyle w:val="Kommentarzeichen1"/>
          <w:sz w:val="22"/>
          <w:szCs w:val="22"/>
        </w:rPr>
        <w:t xml:space="preserve"> </w:t>
      </w:r>
      <w:r w:rsidR="00A535A8">
        <w:t xml:space="preserve">Featuring up to 12 identical P-cores, </w:t>
      </w:r>
      <w:r w:rsidR="00A535A8" w:rsidRPr="00A535A8">
        <w:t>the new modules are specially designed for deterministic high-end applications that need to process numerous data streams in parallel.</w:t>
      </w:r>
      <w:r w:rsidR="00A535A8">
        <w:t xml:space="preserve"> They support up to 192 GB of RAM and provide 42 PCIe lanes for high-bandwidth connectivity </w:t>
      </w:r>
      <w:r w:rsidR="00DD7016">
        <w:t>in</w:t>
      </w:r>
      <w:r w:rsidR="00A535A8">
        <w:t xml:space="preserve"> advanced I/O technologies or AI accelerator cards. This makes them ideally suited for performance-hungry edge computing applications in markets such as test &amp; measurement, medical imaging, smart grids, energy systems, robotics, and industrial process automation—applications that require server-class performance in a workstation-class design footprint.</w:t>
      </w:r>
    </w:p>
    <w:p w14:paraId="588917A1" w14:textId="77777777" w:rsidR="008E5038" w:rsidRPr="000A5B71" w:rsidRDefault="008E5038" w:rsidP="000E18CA">
      <w:pPr>
        <w:rPr>
          <w:rStyle w:val="Kommentarzeichen1"/>
          <w:sz w:val="22"/>
          <w:szCs w:val="22"/>
        </w:rPr>
      </w:pPr>
    </w:p>
    <w:p w14:paraId="4FC892CD" w14:textId="2D9134DB" w:rsidR="00A535A8" w:rsidRPr="00367C87" w:rsidRDefault="00A535A8" w:rsidP="000E18CA">
      <w:pPr>
        <w:pStyle w:val="berschrift3"/>
        <w:spacing w:before="0"/>
        <w:rPr>
          <w:rFonts w:ascii="Arial" w:eastAsia="Times New Roman" w:hAnsi="Arial" w:cs="Times New Roman"/>
          <w:b/>
          <w:bCs/>
          <w:color w:val="auto"/>
          <w:kern w:val="24"/>
          <w:sz w:val="22"/>
        </w:rPr>
      </w:pPr>
      <w:r w:rsidRPr="00367C87">
        <w:rPr>
          <w:rFonts w:ascii="Arial" w:eastAsia="Times New Roman" w:hAnsi="Arial" w:cs="Times New Roman"/>
          <w:b/>
          <w:bCs/>
          <w:color w:val="auto"/>
          <w:kern w:val="24"/>
          <w:sz w:val="22"/>
        </w:rPr>
        <w:lastRenderedPageBreak/>
        <w:t xml:space="preserve">Deterministic </w:t>
      </w:r>
      <w:r w:rsidR="00495092" w:rsidRPr="00367C87">
        <w:rPr>
          <w:rFonts w:ascii="Arial" w:eastAsia="Times New Roman" w:hAnsi="Arial" w:cs="Times New Roman"/>
          <w:b/>
          <w:bCs/>
          <w:color w:val="auto"/>
          <w:kern w:val="24"/>
          <w:sz w:val="22"/>
        </w:rPr>
        <w:t>h</w:t>
      </w:r>
      <w:r w:rsidRPr="00367C87">
        <w:rPr>
          <w:rFonts w:ascii="Arial" w:eastAsia="Times New Roman" w:hAnsi="Arial" w:cs="Times New Roman"/>
          <w:b/>
          <w:bCs/>
          <w:color w:val="auto"/>
          <w:kern w:val="24"/>
          <w:sz w:val="22"/>
        </w:rPr>
        <w:t>igh-</w:t>
      </w:r>
      <w:r w:rsidR="00495092" w:rsidRPr="00367C87">
        <w:rPr>
          <w:rFonts w:ascii="Arial" w:eastAsia="Times New Roman" w:hAnsi="Arial" w:cs="Times New Roman"/>
          <w:b/>
          <w:bCs/>
          <w:color w:val="auto"/>
          <w:kern w:val="24"/>
          <w:sz w:val="22"/>
        </w:rPr>
        <w:t>e</w:t>
      </w:r>
      <w:r w:rsidRPr="00367C87">
        <w:rPr>
          <w:rFonts w:ascii="Arial" w:eastAsia="Times New Roman" w:hAnsi="Arial" w:cs="Times New Roman"/>
          <w:b/>
          <w:bCs/>
          <w:color w:val="auto"/>
          <w:kern w:val="24"/>
          <w:sz w:val="22"/>
        </w:rPr>
        <w:t xml:space="preserve">nd </w:t>
      </w:r>
      <w:r w:rsidR="00495092" w:rsidRPr="00367C87">
        <w:rPr>
          <w:rFonts w:ascii="Arial" w:eastAsia="Times New Roman" w:hAnsi="Arial" w:cs="Times New Roman"/>
          <w:b/>
          <w:bCs/>
          <w:color w:val="auto"/>
          <w:kern w:val="24"/>
          <w:sz w:val="22"/>
        </w:rPr>
        <w:t>e</w:t>
      </w:r>
      <w:r w:rsidRPr="00367C87">
        <w:rPr>
          <w:rFonts w:ascii="Arial" w:eastAsia="Times New Roman" w:hAnsi="Arial" w:cs="Times New Roman"/>
          <w:b/>
          <w:bCs/>
          <w:color w:val="auto"/>
          <w:kern w:val="24"/>
          <w:sz w:val="22"/>
        </w:rPr>
        <w:t xml:space="preserve">mbedded </w:t>
      </w:r>
      <w:r w:rsidR="00495092" w:rsidRPr="00367C87">
        <w:rPr>
          <w:rFonts w:ascii="Arial" w:eastAsia="Times New Roman" w:hAnsi="Arial" w:cs="Times New Roman"/>
          <w:b/>
          <w:bCs/>
          <w:color w:val="auto"/>
          <w:kern w:val="24"/>
          <w:sz w:val="22"/>
        </w:rPr>
        <w:t>c</w:t>
      </w:r>
      <w:r w:rsidRPr="00367C87">
        <w:rPr>
          <w:rFonts w:ascii="Arial" w:eastAsia="Times New Roman" w:hAnsi="Arial" w:cs="Times New Roman"/>
          <w:b/>
          <w:bCs/>
          <w:color w:val="auto"/>
          <w:kern w:val="24"/>
          <w:sz w:val="22"/>
        </w:rPr>
        <w:t>omputing at up to 5.7 GHz</w:t>
      </w:r>
    </w:p>
    <w:p w14:paraId="5CB4A5C0" w14:textId="0B143C17" w:rsidR="00A535A8" w:rsidRDefault="00A535A8" w:rsidP="000E18CA">
      <w:pPr>
        <w:pStyle w:val="StandardWeb"/>
        <w:spacing w:before="0" w:beforeAutospacing="0" w:after="0" w:afterAutospacing="0"/>
      </w:pPr>
      <w:r>
        <w:t xml:space="preserve">The new modules provide a homogeneous CPU architecture with </w:t>
      </w:r>
      <w:r w:rsidR="006F3337">
        <w:t>a</w:t>
      </w:r>
      <w:r>
        <w:t xml:space="preserve"> unified instruction set, simplifying the development of low-latency systems with fully deterministic behavior. Powered by high-performance yet cost-efficient LGA processors, the conga-HPC/</w:t>
      </w:r>
      <w:proofErr w:type="spellStart"/>
      <w:r>
        <w:t>cBLS</w:t>
      </w:r>
      <w:proofErr w:type="spellEnd"/>
      <w:r>
        <w:t xml:space="preserve"> delivers maximum compute capability at CPU frequencies of up to 5.7 GHz.</w:t>
      </w:r>
    </w:p>
    <w:p w14:paraId="1947AA71" w14:textId="77777777" w:rsidR="00A535A8" w:rsidRDefault="00A535A8" w:rsidP="000E18CA">
      <w:pPr>
        <w:pStyle w:val="StandardWeb"/>
        <w:spacing w:before="0" w:beforeAutospacing="0" w:after="0" w:afterAutospacing="0"/>
      </w:pPr>
      <w:r>
        <w:t>This performance directly benefits applications such as data loggers in stationary or mobile test benches, precision real-time control systems for robots, CNC machines, and automated production lines, as well as AI-based quality inspection systems.</w:t>
      </w:r>
    </w:p>
    <w:p w14:paraId="6D6275E8" w14:textId="40D59D05" w:rsidR="00A535A8" w:rsidRDefault="00A535A8" w:rsidP="000E18CA">
      <w:pPr>
        <w:pStyle w:val="StandardWeb"/>
        <w:spacing w:before="0" w:beforeAutospacing="0" w:after="0" w:afterAutospacing="0"/>
      </w:pPr>
      <w:r>
        <w:t>In addition to its modular architecture, the conga-HPC/</w:t>
      </w:r>
      <w:proofErr w:type="spellStart"/>
      <w:r>
        <w:t>cBLS</w:t>
      </w:r>
      <w:proofErr w:type="spellEnd"/>
      <w:r>
        <w:t xml:space="preserve"> future-proof</w:t>
      </w:r>
      <w:r w:rsidR="00266958">
        <w:t>s</w:t>
      </w:r>
      <w:r>
        <w:t xml:space="preserve"> upgrade paths </w:t>
      </w:r>
      <w:r w:rsidR="00C0537F">
        <w:t>via</w:t>
      </w:r>
      <w:r w:rsidR="00266958">
        <w:t xml:space="preserve"> </w:t>
      </w:r>
      <w:r>
        <w:t xml:space="preserve">straightforward module replacement </w:t>
      </w:r>
      <w:r w:rsidR="007B4609">
        <w:t>through</w:t>
      </w:r>
      <w:r>
        <w:t xml:space="preserve"> </w:t>
      </w:r>
      <w:r w:rsidR="00032338">
        <w:t xml:space="preserve">high-performance </w:t>
      </w:r>
      <w:r w:rsidR="00C0537F">
        <w:t xml:space="preserve">computing </w:t>
      </w:r>
      <w:r w:rsidR="0083578B">
        <w:t>socket</w:t>
      </w:r>
      <w:r w:rsidR="00C0537F">
        <w:t>s</w:t>
      </w:r>
      <w:r>
        <w:t>.</w:t>
      </w:r>
    </w:p>
    <w:p w14:paraId="0A0136DF" w14:textId="7B8190B9" w:rsidR="3F05E8CA" w:rsidRDefault="3F05E8CA" w:rsidP="000E18CA">
      <w:pPr>
        <w:pStyle w:val="StandardWeb"/>
        <w:spacing w:before="0" w:beforeAutospacing="0" w:after="0" w:afterAutospacing="0"/>
      </w:pPr>
    </w:p>
    <w:p w14:paraId="755242B5" w14:textId="155DF78C" w:rsidR="00A535A8" w:rsidRDefault="00A535A8" w:rsidP="000E18CA">
      <w:pPr>
        <w:pStyle w:val="StandardWeb"/>
        <w:spacing w:before="0" w:beforeAutospacing="0" w:after="0" w:afterAutospacing="0"/>
      </w:pPr>
      <w:r>
        <w:t xml:space="preserve">“Thanks to their outstanding performance-per-euro ratio, our COM-HPC Client Size C modules with socketed processors present an attractive alternative to traditional motherboards—especially for system designs with high performance and scalability requirements that demand regular technology refresh cycles,” explains Jürgen Jungbauer, Senior Product Line Manager at </w:t>
      </w:r>
      <w:proofErr w:type="spellStart"/>
      <w:r>
        <w:rPr>
          <w:rStyle w:val="whitespace-normal"/>
        </w:rPr>
        <w:t>congatec</w:t>
      </w:r>
      <w:proofErr w:type="spellEnd"/>
      <w:r>
        <w:t>. “Leveraging the integrated graphics with Intel Deep Learning Boost as a GPGPU further transforms the module into a highly efficient</w:t>
      </w:r>
      <w:r w:rsidR="00500D4B">
        <w:t>,</w:t>
      </w:r>
      <w:r>
        <w:t xml:space="preserve"> low-power server platform for AI inference at the edge.”</w:t>
      </w:r>
    </w:p>
    <w:p w14:paraId="18C1BC7B" w14:textId="324B37D1" w:rsidR="3F05E8CA" w:rsidRDefault="3F05E8CA" w:rsidP="000E18CA">
      <w:pPr>
        <w:pStyle w:val="StandardWeb"/>
        <w:spacing w:before="0" w:beforeAutospacing="0" w:after="0" w:afterAutospacing="0"/>
      </w:pPr>
    </w:p>
    <w:p w14:paraId="30F07FCB" w14:textId="2A68CD90" w:rsidR="00A535A8" w:rsidRPr="00367C87" w:rsidRDefault="00A535A8" w:rsidP="000E18CA">
      <w:pPr>
        <w:pStyle w:val="berschrift3"/>
        <w:spacing w:before="0"/>
        <w:rPr>
          <w:rFonts w:ascii="Arial" w:eastAsia="Times New Roman" w:hAnsi="Arial" w:cs="Arial"/>
          <w:b/>
          <w:bCs/>
          <w:color w:val="auto"/>
          <w:kern w:val="24"/>
          <w:sz w:val="22"/>
          <w:szCs w:val="22"/>
        </w:rPr>
      </w:pPr>
      <w:r w:rsidRPr="00367C87">
        <w:rPr>
          <w:rFonts w:ascii="Arial" w:eastAsia="Times New Roman" w:hAnsi="Arial" w:cs="Arial"/>
          <w:b/>
          <w:bCs/>
          <w:color w:val="auto"/>
          <w:kern w:val="24"/>
          <w:sz w:val="22"/>
          <w:szCs w:val="22"/>
        </w:rPr>
        <w:t xml:space="preserve">Impressive AI </w:t>
      </w:r>
      <w:r w:rsidR="00A849C7" w:rsidRPr="00367C87">
        <w:rPr>
          <w:rFonts w:ascii="Arial" w:eastAsia="Times New Roman" w:hAnsi="Arial" w:cs="Arial"/>
          <w:b/>
          <w:bCs/>
          <w:color w:val="auto"/>
          <w:kern w:val="24"/>
          <w:sz w:val="22"/>
          <w:szCs w:val="22"/>
        </w:rPr>
        <w:t>i</w:t>
      </w:r>
      <w:r w:rsidRPr="00367C87">
        <w:rPr>
          <w:rFonts w:ascii="Arial" w:eastAsia="Times New Roman" w:hAnsi="Arial" w:cs="Arial"/>
          <w:b/>
          <w:bCs/>
          <w:color w:val="auto"/>
          <w:kern w:val="24"/>
          <w:sz w:val="22"/>
          <w:szCs w:val="22"/>
        </w:rPr>
        <w:t xml:space="preserve">nference </w:t>
      </w:r>
      <w:r w:rsidR="00A849C7" w:rsidRPr="00367C87">
        <w:rPr>
          <w:rFonts w:ascii="Arial" w:eastAsia="Times New Roman" w:hAnsi="Arial" w:cs="Arial"/>
          <w:b/>
          <w:bCs/>
          <w:color w:val="auto"/>
          <w:kern w:val="24"/>
          <w:sz w:val="22"/>
          <w:szCs w:val="22"/>
        </w:rPr>
        <w:t>p</w:t>
      </w:r>
      <w:r w:rsidRPr="00367C87">
        <w:rPr>
          <w:rFonts w:ascii="Arial" w:eastAsia="Times New Roman" w:hAnsi="Arial" w:cs="Arial"/>
          <w:b/>
          <w:bCs/>
          <w:color w:val="auto"/>
          <w:kern w:val="24"/>
          <w:sz w:val="22"/>
          <w:szCs w:val="22"/>
        </w:rPr>
        <w:t xml:space="preserve">erformance for </w:t>
      </w:r>
      <w:r w:rsidR="00F43876" w:rsidRPr="00367C87">
        <w:rPr>
          <w:rFonts w:ascii="Arial" w:eastAsia="Times New Roman" w:hAnsi="Arial" w:cs="Arial"/>
          <w:b/>
          <w:bCs/>
          <w:color w:val="auto"/>
          <w:kern w:val="24"/>
          <w:sz w:val="22"/>
          <w:szCs w:val="22"/>
        </w:rPr>
        <w:t>e</w:t>
      </w:r>
      <w:r w:rsidRPr="00367C87">
        <w:rPr>
          <w:rFonts w:ascii="Arial" w:eastAsia="Times New Roman" w:hAnsi="Arial" w:cs="Arial"/>
          <w:b/>
          <w:bCs/>
          <w:color w:val="auto"/>
          <w:kern w:val="24"/>
          <w:sz w:val="22"/>
          <w:szCs w:val="22"/>
        </w:rPr>
        <w:t>dge AI</w:t>
      </w:r>
    </w:p>
    <w:p w14:paraId="209940B6" w14:textId="5CB2A92D" w:rsidR="00A535A8" w:rsidRDefault="00A535A8" w:rsidP="000E18CA">
      <w:pPr>
        <w:pStyle w:val="StandardWeb"/>
        <w:spacing w:before="0" w:beforeAutospacing="0" w:after="0" w:afterAutospacing="0"/>
      </w:pPr>
      <w:r>
        <w:t>Applications also benefit from the strong AI acceleration capabilities of the integrated Intel UHD Graphics featuring up to 32 execution units. It supports Intel</w:t>
      </w:r>
      <w:r w:rsidR="0066189A">
        <w:t>®</w:t>
      </w:r>
      <w:r>
        <w:t xml:space="preserve"> Deep Learning Boost and Vector Neural Network Instructions (VNNI), enabling efficient AI inference at the edge.</w:t>
      </w:r>
      <w:r w:rsidR="00A934A2">
        <w:t xml:space="preserve"> </w:t>
      </w:r>
      <w:r>
        <w:t>Up to 192 GB of ECC-protected memory across four SO-DIMM sockets further accelerates GPGPU workloads and data-intensive edge applications. Dual 2.5 Gigabit Ethernet interfaces, extensive I/O options including four USB 3.2 ports, four USB 2.0 ports, SATA, UART, GPIO, I2C, and high-definition audio round out the feature set.</w:t>
      </w:r>
    </w:p>
    <w:p w14:paraId="32544941" w14:textId="77777777" w:rsidR="00A535A8" w:rsidRDefault="00A535A8" w:rsidP="000E18CA">
      <w:pPr>
        <w:pStyle w:val="StandardWeb"/>
        <w:spacing w:before="0" w:beforeAutospacing="0" w:after="0" w:afterAutospacing="0"/>
      </w:pPr>
      <w:r>
        <w:t>Comprehensive active cooling solutions ensure efficient thermal management. Using heat spreaders and heat pipe adapters, even fully sealed system designs can be realized.</w:t>
      </w:r>
    </w:p>
    <w:p w14:paraId="668B12DC" w14:textId="793C2AED" w:rsidR="00A535A8" w:rsidRDefault="00A535A8" w:rsidP="000E18CA">
      <w:pPr>
        <w:pStyle w:val="StandardWeb"/>
        <w:spacing w:before="0" w:beforeAutospacing="0" w:after="0" w:afterAutospacing="0"/>
      </w:pPr>
      <w:r>
        <w:t>The conga-HPC/</w:t>
      </w:r>
      <w:proofErr w:type="spellStart"/>
      <w:r>
        <w:t>cBLS</w:t>
      </w:r>
      <w:proofErr w:type="spellEnd"/>
      <w:r>
        <w:t xml:space="preserve"> supports Microsoft Windows 11, Windows 11 IoT Enterprise, Linux, and Ubuntu Pro. </w:t>
      </w:r>
      <w:r w:rsidR="00B857AE">
        <w:t>These a</w:t>
      </w:r>
      <w:r>
        <w:t xml:space="preserve">pplication-ready aReady.COM modules can be preconfigured with licensed </w:t>
      </w:r>
      <w:proofErr w:type="spellStart"/>
      <w:r>
        <w:t>ctrlX</w:t>
      </w:r>
      <w:proofErr w:type="spellEnd"/>
      <w:r>
        <w:t xml:space="preserve"> OS, Ubuntu Pro, or </w:t>
      </w:r>
      <w:proofErr w:type="spellStart"/>
      <w:r>
        <w:t>KontronOS</w:t>
      </w:r>
      <w:proofErr w:type="spellEnd"/>
      <w:r>
        <w:t>.</w:t>
      </w:r>
    </w:p>
    <w:p w14:paraId="0C39F704" w14:textId="77777777" w:rsidR="0030687E" w:rsidRDefault="0030687E" w:rsidP="000E18CA">
      <w:pPr>
        <w:pStyle w:val="StandardWeb"/>
        <w:spacing w:before="0" w:beforeAutospacing="0" w:after="0" w:afterAutospacing="0"/>
      </w:pPr>
    </w:p>
    <w:p w14:paraId="42934FEA" w14:textId="2E33293A" w:rsidR="00A535A8" w:rsidRDefault="00A535A8" w:rsidP="000E18CA">
      <w:pPr>
        <w:pStyle w:val="StandardWeb"/>
        <w:spacing w:before="0" w:beforeAutospacing="0" w:after="0" w:afterAutospacing="0"/>
      </w:pPr>
      <w:r>
        <w:t xml:space="preserve">The </w:t>
      </w:r>
      <w:proofErr w:type="spellStart"/>
      <w:r>
        <w:t>aReady.VT</w:t>
      </w:r>
      <w:proofErr w:type="spellEnd"/>
      <w:r>
        <w:t xml:space="preserve"> option with</w:t>
      </w:r>
      <w:r w:rsidR="00947D1B">
        <w:t xml:space="preserve"> an</w:t>
      </w:r>
      <w:r>
        <w:t xml:space="preserve"> integrated conga-</w:t>
      </w:r>
      <w:r w:rsidR="00B814FC">
        <w:t>zones</w:t>
      </w:r>
      <w:r>
        <w:t xml:space="preserve"> hypervisor enables developers to consolidate multiple workloads—including real-time control, HMI, AI, and IoT gateway </w:t>
      </w:r>
      <w:r>
        <w:lastRenderedPageBreak/>
        <w:t>functionality—onto a single module.</w:t>
      </w:r>
      <w:r w:rsidR="000E18CA">
        <w:t xml:space="preserve"> </w:t>
      </w:r>
      <w:r>
        <w:t xml:space="preserve">For </w:t>
      </w:r>
      <w:proofErr w:type="spellStart"/>
      <w:r>
        <w:t>IIoT</w:t>
      </w:r>
      <w:proofErr w:type="spellEnd"/>
      <w:r>
        <w:t xml:space="preserve"> connectivity, developers can leverage the conga-connect software building blocks, which enable data exchange as well as remote monitoring and management of the module, carrier board, and peripherals, including secure cloud connectivity.</w:t>
      </w:r>
      <w:r w:rsidR="000E18CA">
        <w:t xml:space="preserve"> </w:t>
      </w:r>
      <w:r>
        <w:t xml:space="preserve">To further streamline application development, </w:t>
      </w:r>
      <w:proofErr w:type="spellStart"/>
      <w:r>
        <w:rPr>
          <w:rStyle w:val="whitespace-normal"/>
        </w:rPr>
        <w:t>congatec</w:t>
      </w:r>
      <w:proofErr w:type="spellEnd"/>
      <w:r>
        <w:t xml:space="preserve"> provides a comprehensive ecosystem, including evaluation and application-ready carrier boards</w:t>
      </w:r>
      <w:r w:rsidR="00765372">
        <w:t>. Also available are</w:t>
      </w:r>
      <w:r>
        <w:t xml:space="preserve"> </w:t>
      </w:r>
      <w:proofErr w:type="spellStart"/>
      <w:r>
        <w:t>aReady.YOURS</w:t>
      </w:r>
      <w:proofErr w:type="spellEnd"/>
      <w:r>
        <w:t xml:space="preserve"> customization services for COMs, carrier boards, and thermal solutions—up to and including full custom designs.</w:t>
      </w:r>
    </w:p>
    <w:p w14:paraId="1647DCD6" w14:textId="77777777" w:rsidR="0030687E" w:rsidRDefault="0030687E" w:rsidP="000E18CA">
      <w:pPr>
        <w:pStyle w:val="StandardWeb"/>
        <w:spacing w:before="0" w:beforeAutospacing="0" w:after="0" w:afterAutospacing="0"/>
      </w:pP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D30882" w:rsidRPr="00C32603" w14:paraId="129C993E" w14:textId="77777777" w:rsidTr="0016134D">
        <w:tc>
          <w:tcPr>
            <w:tcW w:w="2127" w:type="dxa"/>
            <w:tcBorders>
              <w:bottom w:val="single" w:sz="4" w:space="0" w:color="000000"/>
            </w:tcBorders>
            <w:vAlign w:val="center"/>
          </w:tcPr>
          <w:p w14:paraId="13403767" w14:textId="251EDBC4" w:rsidR="00D30882" w:rsidRPr="00C32603" w:rsidRDefault="00D30882" w:rsidP="000E18CA">
            <w:pPr>
              <w:spacing w:line="240" w:lineRule="auto"/>
              <w:rPr>
                <w:b/>
                <w:sz w:val="16"/>
                <w:szCs w:val="16"/>
              </w:rPr>
            </w:pPr>
            <w:r>
              <w:rPr>
                <w:b/>
                <w:sz w:val="16"/>
                <w:szCs w:val="16"/>
              </w:rPr>
              <w:t>CPU</w:t>
            </w:r>
          </w:p>
        </w:tc>
        <w:tc>
          <w:tcPr>
            <w:tcW w:w="254" w:type="dxa"/>
            <w:vAlign w:val="center"/>
          </w:tcPr>
          <w:p w14:paraId="219A32BA" w14:textId="77777777" w:rsidR="00D30882" w:rsidRPr="00C32603" w:rsidRDefault="00D30882" w:rsidP="000E18CA">
            <w:pPr>
              <w:spacing w:line="240" w:lineRule="auto"/>
              <w:rPr>
                <w:b/>
                <w:sz w:val="16"/>
                <w:szCs w:val="16"/>
              </w:rPr>
            </w:pPr>
          </w:p>
        </w:tc>
        <w:tc>
          <w:tcPr>
            <w:tcW w:w="907" w:type="dxa"/>
            <w:tcBorders>
              <w:bottom w:val="single" w:sz="4" w:space="0" w:color="000000"/>
            </w:tcBorders>
            <w:vAlign w:val="center"/>
          </w:tcPr>
          <w:p w14:paraId="3398C7E9" w14:textId="77777777" w:rsidR="00D30882" w:rsidRPr="00C32603" w:rsidRDefault="00D30882" w:rsidP="000E18CA">
            <w:pPr>
              <w:spacing w:line="240" w:lineRule="auto"/>
              <w:jc w:val="center"/>
              <w:rPr>
                <w:b/>
                <w:sz w:val="16"/>
                <w:szCs w:val="16"/>
              </w:rPr>
            </w:pPr>
            <w:r w:rsidRPr="00C32603">
              <w:rPr>
                <w:b/>
                <w:sz w:val="16"/>
                <w:szCs w:val="16"/>
              </w:rPr>
              <w:t>Cores/</w:t>
            </w:r>
            <w:r w:rsidRPr="00C32603">
              <w:rPr>
                <w:b/>
                <w:sz w:val="16"/>
                <w:szCs w:val="16"/>
              </w:rPr>
              <w:br/>
              <w:t>(P + E)</w:t>
            </w:r>
          </w:p>
        </w:tc>
        <w:tc>
          <w:tcPr>
            <w:tcW w:w="236" w:type="dxa"/>
            <w:vAlign w:val="center"/>
          </w:tcPr>
          <w:p w14:paraId="073A1448" w14:textId="77777777" w:rsidR="00D30882" w:rsidRPr="00C32603" w:rsidRDefault="00D30882" w:rsidP="000E18CA">
            <w:pPr>
              <w:spacing w:line="240" w:lineRule="auto"/>
              <w:jc w:val="center"/>
              <w:rPr>
                <w:b/>
                <w:sz w:val="16"/>
                <w:szCs w:val="16"/>
              </w:rPr>
            </w:pPr>
          </w:p>
        </w:tc>
        <w:tc>
          <w:tcPr>
            <w:tcW w:w="1191" w:type="dxa"/>
            <w:tcBorders>
              <w:bottom w:val="single" w:sz="4" w:space="0" w:color="000000"/>
            </w:tcBorders>
            <w:vAlign w:val="center"/>
          </w:tcPr>
          <w:p w14:paraId="5A28D171" w14:textId="77777777" w:rsidR="00D30882" w:rsidRPr="00CA0636" w:rsidRDefault="00D30882" w:rsidP="000E18CA">
            <w:pPr>
              <w:spacing w:line="240" w:lineRule="auto"/>
              <w:jc w:val="center"/>
              <w:rPr>
                <w:b/>
                <w:sz w:val="16"/>
                <w:szCs w:val="16"/>
              </w:rPr>
            </w:pPr>
            <w:r w:rsidRPr="00CA0636">
              <w:rPr>
                <w:b/>
                <w:sz w:val="16"/>
                <w:szCs w:val="16"/>
              </w:rPr>
              <w:t>P-cores</w:t>
            </w:r>
            <w:r w:rsidRPr="00CA0636">
              <w:rPr>
                <w:b/>
                <w:sz w:val="16"/>
                <w:szCs w:val="16"/>
              </w:rPr>
              <w:br/>
              <w:t xml:space="preserve">Takt [GHz] </w:t>
            </w:r>
          </w:p>
          <w:p w14:paraId="6AF7BA3C" w14:textId="77777777" w:rsidR="00D30882" w:rsidRPr="00CA0636" w:rsidRDefault="00D30882" w:rsidP="000E18CA">
            <w:pPr>
              <w:spacing w:line="240" w:lineRule="auto"/>
              <w:jc w:val="center"/>
              <w:rPr>
                <w:b/>
                <w:sz w:val="16"/>
                <w:szCs w:val="16"/>
              </w:rPr>
            </w:pPr>
            <w:r w:rsidRPr="00CA0636">
              <w:rPr>
                <w:b/>
                <w:sz w:val="16"/>
                <w:szCs w:val="16"/>
              </w:rPr>
              <w:t>(Base)</w:t>
            </w:r>
          </w:p>
        </w:tc>
        <w:tc>
          <w:tcPr>
            <w:tcW w:w="236" w:type="dxa"/>
          </w:tcPr>
          <w:p w14:paraId="3CB07600" w14:textId="77777777" w:rsidR="00D30882" w:rsidRPr="00CA0636" w:rsidRDefault="00D30882" w:rsidP="000E18CA">
            <w:pPr>
              <w:spacing w:line="240" w:lineRule="auto"/>
              <w:jc w:val="center"/>
              <w:rPr>
                <w:b/>
                <w:sz w:val="16"/>
                <w:szCs w:val="16"/>
              </w:rPr>
            </w:pPr>
          </w:p>
        </w:tc>
        <w:tc>
          <w:tcPr>
            <w:tcW w:w="1191" w:type="dxa"/>
            <w:tcBorders>
              <w:bottom w:val="single" w:sz="4" w:space="0" w:color="000000"/>
            </w:tcBorders>
            <w:vAlign w:val="center"/>
          </w:tcPr>
          <w:p w14:paraId="58ABAE8C" w14:textId="77777777" w:rsidR="00D30882" w:rsidRPr="00CA0636" w:rsidRDefault="00D30882" w:rsidP="000E18CA">
            <w:pPr>
              <w:spacing w:line="240" w:lineRule="auto"/>
              <w:jc w:val="center"/>
              <w:rPr>
                <w:b/>
                <w:sz w:val="16"/>
                <w:szCs w:val="16"/>
              </w:rPr>
            </w:pPr>
            <w:r w:rsidRPr="00CA0636">
              <w:rPr>
                <w:b/>
                <w:sz w:val="16"/>
                <w:szCs w:val="16"/>
              </w:rPr>
              <w:t>P-cores</w:t>
            </w:r>
            <w:r w:rsidRPr="00CA0636">
              <w:rPr>
                <w:b/>
                <w:sz w:val="16"/>
                <w:szCs w:val="16"/>
              </w:rPr>
              <w:br/>
              <w:t>Takt [GHz]</w:t>
            </w:r>
            <w:r w:rsidRPr="00CA0636">
              <w:rPr>
                <w:b/>
                <w:sz w:val="16"/>
                <w:szCs w:val="16"/>
              </w:rPr>
              <w:br/>
              <w:t>(Single P-Core Turbo / All P-Core Turbo)</w:t>
            </w:r>
          </w:p>
        </w:tc>
        <w:tc>
          <w:tcPr>
            <w:tcW w:w="236" w:type="dxa"/>
          </w:tcPr>
          <w:p w14:paraId="4D5414D0" w14:textId="77777777" w:rsidR="00D30882" w:rsidRPr="00CA0636" w:rsidRDefault="00D30882" w:rsidP="000E18CA">
            <w:pPr>
              <w:spacing w:line="240" w:lineRule="auto"/>
              <w:jc w:val="center"/>
              <w:rPr>
                <w:b/>
                <w:sz w:val="16"/>
                <w:szCs w:val="16"/>
              </w:rPr>
            </w:pPr>
          </w:p>
        </w:tc>
        <w:tc>
          <w:tcPr>
            <w:tcW w:w="236" w:type="dxa"/>
            <w:vAlign w:val="center"/>
          </w:tcPr>
          <w:p w14:paraId="2DAF553E" w14:textId="77777777" w:rsidR="00D30882" w:rsidRPr="00CA0636" w:rsidRDefault="00D30882" w:rsidP="000E18CA">
            <w:pPr>
              <w:spacing w:line="240" w:lineRule="auto"/>
              <w:jc w:val="center"/>
              <w:rPr>
                <w:b/>
                <w:sz w:val="16"/>
                <w:szCs w:val="16"/>
              </w:rPr>
            </w:pPr>
          </w:p>
        </w:tc>
        <w:tc>
          <w:tcPr>
            <w:tcW w:w="1020" w:type="dxa"/>
            <w:tcBorders>
              <w:bottom w:val="single" w:sz="4" w:space="0" w:color="000000"/>
            </w:tcBorders>
            <w:vAlign w:val="center"/>
          </w:tcPr>
          <w:p w14:paraId="3A65F1A8" w14:textId="77777777" w:rsidR="00D30882" w:rsidRPr="00C32603" w:rsidRDefault="00D30882" w:rsidP="000E18CA">
            <w:pPr>
              <w:spacing w:line="240" w:lineRule="auto"/>
              <w:jc w:val="center"/>
              <w:rPr>
                <w:b/>
                <w:sz w:val="16"/>
                <w:szCs w:val="16"/>
              </w:rPr>
            </w:pPr>
            <w:r w:rsidRPr="00C32603">
              <w:rPr>
                <w:b/>
                <w:sz w:val="16"/>
                <w:szCs w:val="16"/>
              </w:rPr>
              <w:t>GFX EUs</w:t>
            </w:r>
          </w:p>
        </w:tc>
        <w:tc>
          <w:tcPr>
            <w:tcW w:w="236" w:type="dxa"/>
            <w:vAlign w:val="center"/>
          </w:tcPr>
          <w:p w14:paraId="73F49478" w14:textId="77777777" w:rsidR="00D30882" w:rsidRPr="00C32603" w:rsidRDefault="00D30882" w:rsidP="000E18CA">
            <w:pPr>
              <w:spacing w:line="240" w:lineRule="auto"/>
              <w:jc w:val="center"/>
              <w:rPr>
                <w:b/>
                <w:sz w:val="16"/>
                <w:szCs w:val="16"/>
              </w:rPr>
            </w:pPr>
          </w:p>
        </w:tc>
        <w:tc>
          <w:tcPr>
            <w:tcW w:w="850" w:type="dxa"/>
            <w:tcBorders>
              <w:bottom w:val="single" w:sz="4" w:space="0" w:color="000000"/>
            </w:tcBorders>
            <w:vAlign w:val="center"/>
          </w:tcPr>
          <w:p w14:paraId="08F0A2A7" w14:textId="77777777" w:rsidR="00D30882" w:rsidRPr="00C32603" w:rsidRDefault="00D30882" w:rsidP="000E18CA">
            <w:pPr>
              <w:spacing w:line="240" w:lineRule="auto"/>
              <w:jc w:val="center"/>
              <w:rPr>
                <w:b/>
                <w:color w:val="262626"/>
                <w:sz w:val="16"/>
                <w:szCs w:val="16"/>
              </w:rPr>
            </w:pPr>
            <w:r w:rsidRPr="00C32603">
              <w:rPr>
                <w:b/>
                <w:sz w:val="16"/>
                <w:szCs w:val="16"/>
              </w:rPr>
              <w:t>CPU Base Power [W]</w:t>
            </w:r>
          </w:p>
        </w:tc>
      </w:tr>
      <w:tr w:rsidR="00D30882" w:rsidRPr="00C32603" w14:paraId="433F490F" w14:textId="77777777" w:rsidTr="0016134D">
        <w:tc>
          <w:tcPr>
            <w:tcW w:w="2127" w:type="dxa"/>
            <w:tcBorders>
              <w:top w:val="single" w:sz="4" w:space="0" w:color="000000"/>
              <w:bottom w:val="single" w:sz="4" w:space="0" w:color="000000"/>
            </w:tcBorders>
            <w:vAlign w:val="center"/>
          </w:tcPr>
          <w:p w14:paraId="1CAF9852" w14:textId="77777777" w:rsidR="00D30882" w:rsidRPr="00C32603" w:rsidRDefault="00D30882" w:rsidP="000E18CA">
            <w:pPr>
              <w:spacing w:line="240" w:lineRule="auto"/>
              <w:rPr>
                <w:sz w:val="16"/>
                <w:szCs w:val="16"/>
              </w:rPr>
            </w:pPr>
            <w:r w:rsidRPr="00C32603">
              <w:rPr>
                <w:sz w:val="16"/>
                <w:szCs w:val="16"/>
              </w:rPr>
              <w:t>Intel Core 9 273PE</w:t>
            </w:r>
          </w:p>
        </w:tc>
        <w:tc>
          <w:tcPr>
            <w:tcW w:w="254" w:type="dxa"/>
            <w:vAlign w:val="center"/>
          </w:tcPr>
          <w:p w14:paraId="17734F7E" w14:textId="77777777" w:rsidR="00D30882" w:rsidRPr="00C32603" w:rsidRDefault="00D30882" w:rsidP="000E18CA">
            <w:pPr>
              <w:spacing w:line="240" w:lineRule="auto"/>
              <w:rPr>
                <w:sz w:val="16"/>
                <w:szCs w:val="16"/>
              </w:rPr>
            </w:pPr>
          </w:p>
        </w:tc>
        <w:tc>
          <w:tcPr>
            <w:tcW w:w="907" w:type="dxa"/>
            <w:tcBorders>
              <w:top w:val="single" w:sz="4" w:space="0" w:color="000000"/>
              <w:bottom w:val="single" w:sz="4" w:space="0" w:color="000000"/>
            </w:tcBorders>
            <w:vAlign w:val="center"/>
          </w:tcPr>
          <w:p w14:paraId="3DBD561D" w14:textId="77777777" w:rsidR="00D30882" w:rsidRPr="00C32603" w:rsidRDefault="00D30882" w:rsidP="000E18CA">
            <w:pPr>
              <w:spacing w:line="240" w:lineRule="auto"/>
              <w:rPr>
                <w:sz w:val="16"/>
                <w:szCs w:val="16"/>
              </w:rPr>
            </w:pPr>
            <w:r w:rsidRPr="00C32603">
              <w:rPr>
                <w:sz w:val="16"/>
                <w:szCs w:val="16"/>
              </w:rPr>
              <w:t>12 (12+0)</w:t>
            </w:r>
          </w:p>
        </w:tc>
        <w:tc>
          <w:tcPr>
            <w:tcW w:w="236" w:type="dxa"/>
            <w:vAlign w:val="center"/>
          </w:tcPr>
          <w:p w14:paraId="239D5900" w14:textId="77777777" w:rsidR="00D30882" w:rsidRPr="00C32603" w:rsidRDefault="00D30882" w:rsidP="000E18CA">
            <w:pPr>
              <w:spacing w:line="240" w:lineRule="auto"/>
              <w:rPr>
                <w:sz w:val="16"/>
                <w:szCs w:val="16"/>
              </w:rPr>
            </w:pPr>
          </w:p>
        </w:tc>
        <w:tc>
          <w:tcPr>
            <w:tcW w:w="1191" w:type="dxa"/>
            <w:tcBorders>
              <w:top w:val="single" w:sz="4" w:space="0" w:color="000000"/>
              <w:bottom w:val="single" w:sz="4" w:space="0" w:color="000000"/>
            </w:tcBorders>
            <w:vAlign w:val="center"/>
          </w:tcPr>
          <w:p w14:paraId="666C0CE5" w14:textId="77777777" w:rsidR="00D30882" w:rsidRPr="00C32603" w:rsidRDefault="00D30882" w:rsidP="000E18CA">
            <w:pPr>
              <w:spacing w:line="240" w:lineRule="auto"/>
              <w:jc w:val="center"/>
              <w:rPr>
                <w:sz w:val="16"/>
                <w:szCs w:val="16"/>
              </w:rPr>
            </w:pPr>
            <w:r w:rsidRPr="00C32603">
              <w:rPr>
                <w:sz w:val="16"/>
                <w:szCs w:val="16"/>
              </w:rPr>
              <w:t>2,3</w:t>
            </w:r>
          </w:p>
        </w:tc>
        <w:tc>
          <w:tcPr>
            <w:tcW w:w="236" w:type="dxa"/>
          </w:tcPr>
          <w:p w14:paraId="5A379A5C" w14:textId="77777777" w:rsidR="00D30882" w:rsidRPr="00C32603" w:rsidRDefault="00D30882" w:rsidP="000E18CA">
            <w:pPr>
              <w:spacing w:line="240" w:lineRule="auto"/>
              <w:rPr>
                <w:sz w:val="16"/>
                <w:szCs w:val="16"/>
              </w:rPr>
            </w:pPr>
          </w:p>
        </w:tc>
        <w:tc>
          <w:tcPr>
            <w:tcW w:w="1191" w:type="dxa"/>
            <w:tcBorders>
              <w:top w:val="single" w:sz="4" w:space="0" w:color="000000"/>
              <w:bottom w:val="single" w:sz="4" w:space="0" w:color="000000"/>
            </w:tcBorders>
            <w:vAlign w:val="center"/>
          </w:tcPr>
          <w:p w14:paraId="2229AE37" w14:textId="77777777" w:rsidR="00D30882" w:rsidRPr="00C32603" w:rsidRDefault="00D30882" w:rsidP="000E18CA">
            <w:pPr>
              <w:spacing w:line="240" w:lineRule="auto"/>
              <w:jc w:val="center"/>
              <w:rPr>
                <w:sz w:val="16"/>
                <w:szCs w:val="16"/>
              </w:rPr>
            </w:pPr>
            <w:r w:rsidRPr="00C32603">
              <w:rPr>
                <w:sz w:val="16"/>
                <w:szCs w:val="16"/>
              </w:rPr>
              <w:t>5,7 / 5,2</w:t>
            </w:r>
          </w:p>
        </w:tc>
        <w:tc>
          <w:tcPr>
            <w:tcW w:w="236" w:type="dxa"/>
          </w:tcPr>
          <w:p w14:paraId="340D31F2" w14:textId="77777777" w:rsidR="00D30882" w:rsidRPr="00C32603" w:rsidRDefault="00D30882" w:rsidP="000E18CA">
            <w:pPr>
              <w:spacing w:line="240" w:lineRule="auto"/>
              <w:rPr>
                <w:sz w:val="16"/>
                <w:szCs w:val="16"/>
              </w:rPr>
            </w:pPr>
          </w:p>
        </w:tc>
        <w:tc>
          <w:tcPr>
            <w:tcW w:w="236" w:type="dxa"/>
            <w:vAlign w:val="center"/>
          </w:tcPr>
          <w:p w14:paraId="7941F311" w14:textId="77777777" w:rsidR="00D30882" w:rsidRPr="00C32603" w:rsidRDefault="00D30882" w:rsidP="000E18CA">
            <w:pPr>
              <w:spacing w:line="240" w:lineRule="auto"/>
              <w:rPr>
                <w:sz w:val="16"/>
                <w:szCs w:val="16"/>
              </w:rPr>
            </w:pPr>
          </w:p>
        </w:tc>
        <w:tc>
          <w:tcPr>
            <w:tcW w:w="1020" w:type="dxa"/>
            <w:tcBorders>
              <w:top w:val="single" w:sz="4" w:space="0" w:color="000000"/>
              <w:bottom w:val="single" w:sz="4" w:space="0" w:color="000000"/>
            </w:tcBorders>
            <w:vAlign w:val="center"/>
          </w:tcPr>
          <w:p w14:paraId="7216D16D" w14:textId="77777777" w:rsidR="00D30882" w:rsidRPr="00C32603" w:rsidRDefault="00D30882" w:rsidP="000E18CA">
            <w:pPr>
              <w:spacing w:line="240" w:lineRule="auto"/>
              <w:jc w:val="center"/>
              <w:rPr>
                <w:sz w:val="16"/>
                <w:szCs w:val="16"/>
              </w:rPr>
            </w:pPr>
            <w:r w:rsidRPr="00C32603">
              <w:rPr>
                <w:sz w:val="16"/>
                <w:szCs w:val="16"/>
              </w:rPr>
              <w:t>32</w:t>
            </w:r>
          </w:p>
        </w:tc>
        <w:tc>
          <w:tcPr>
            <w:tcW w:w="236" w:type="dxa"/>
            <w:vAlign w:val="center"/>
          </w:tcPr>
          <w:p w14:paraId="706D4558" w14:textId="77777777" w:rsidR="00D30882" w:rsidRPr="00C32603" w:rsidRDefault="00D30882" w:rsidP="000E18CA">
            <w:pPr>
              <w:spacing w:line="240" w:lineRule="auto"/>
              <w:rPr>
                <w:sz w:val="16"/>
                <w:szCs w:val="16"/>
              </w:rPr>
            </w:pPr>
          </w:p>
        </w:tc>
        <w:tc>
          <w:tcPr>
            <w:tcW w:w="850" w:type="dxa"/>
            <w:tcBorders>
              <w:top w:val="single" w:sz="4" w:space="0" w:color="000000"/>
              <w:bottom w:val="single" w:sz="4" w:space="0" w:color="000000"/>
            </w:tcBorders>
            <w:vAlign w:val="center"/>
          </w:tcPr>
          <w:p w14:paraId="2B0A3FD3" w14:textId="77777777" w:rsidR="00D30882" w:rsidRPr="00C32603" w:rsidRDefault="00D30882" w:rsidP="000E18CA">
            <w:pPr>
              <w:spacing w:line="240" w:lineRule="auto"/>
              <w:jc w:val="center"/>
              <w:rPr>
                <w:sz w:val="16"/>
                <w:szCs w:val="16"/>
              </w:rPr>
            </w:pPr>
            <w:r w:rsidRPr="00C32603">
              <w:rPr>
                <w:sz w:val="16"/>
                <w:szCs w:val="16"/>
              </w:rPr>
              <w:t>65</w:t>
            </w:r>
          </w:p>
        </w:tc>
      </w:tr>
      <w:tr w:rsidR="00D30882" w:rsidRPr="00C32603" w14:paraId="6D8CE7D3" w14:textId="77777777" w:rsidTr="0016134D">
        <w:tc>
          <w:tcPr>
            <w:tcW w:w="2127" w:type="dxa"/>
            <w:tcBorders>
              <w:top w:val="single" w:sz="4" w:space="0" w:color="000000"/>
            </w:tcBorders>
            <w:vAlign w:val="center"/>
          </w:tcPr>
          <w:p w14:paraId="6DE2A242" w14:textId="77777777" w:rsidR="00D30882" w:rsidRPr="00C32603" w:rsidRDefault="00D30882" w:rsidP="000E18CA">
            <w:pPr>
              <w:spacing w:line="240" w:lineRule="auto"/>
              <w:rPr>
                <w:sz w:val="16"/>
                <w:szCs w:val="16"/>
              </w:rPr>
            </w:pPr>
            <w:r w:rsidRPr="00C32603">
              <w:rPr>
                <w:sz w:val="16"/>
                <w:szCs w:val="16"/>
              </w:rPr>
              <w:t>Intel Core 7 253PE</w:t>
            </w:r>
          </w:p>
        </w:tc>
        <w:tc>
          <w:tcPr>
            <w:tcW w:w="254" w:type="dxa"/>
            <w:vAlign w:val="center"/>
          </w:tcPr>
          <w:p w14:paraId="2A77A7B4" w14:textId="77777777" w:rsidR="00D30882" w:rsidRPr="00C32603" w:rsidRDefault="00D30882" w:rsidP="000E18CA">
            <w:pPr>
              <w:spacing w:line="240" w:lineRule="auto"/>
              <w:rPr>
                <w:sz w:val="16"/>
                <w:szCs w:val="16"/>
              </w:rPr>
            </w:pPr>
          </w:p>
        </w:tc>
        <w:tc>
          <w:tcPr>
            <w:tcW w:w="907" w:type="dxa"/>
            <w:tcBorders>
              <w:top w:val="single" w:sz="4" w:space="0" w:color="000000"/>
            </w:tcBorders>
            <w:vAlign w:val="center"/>
          </w:tcPr>
          <w:p w14:paraId="4B696341" w14:textId="77777777" w:rsidR="00D30882" w:rsidRPr="00C32603" w:rsidRDefault="00D30882" w:rsidP="000E18CA">
            <w:pPr>
              <w:spacing w:line="240" w:lineRule="auto"/>
              <w:jc w:val="center"/>
              <w:rPr>
                <w:sz w:val="16"/>
                <w:szCs w:val="16"/>
              </w:rPr>
            </w:pPr>
            <w:r w:rsidRPr="00C32603">
              <w:rPr>
                <w:sz w:val="16"/>
                <w:szCs w:val="16"/>
              </w:rPr>
              <w:t>10 (10+0)</w:t>
            </w:r>
          </w:p>
        </w:tc>
        <w:tc>
          <w:tcPr>
            <w:tcW w:w="236" w:type="dxa"/>
            <w:vAlign w:val="center"/>
          </w:tcPr>
          <w:p w14:paraId="25119DAA"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2FDA4F90" w14:textId="77777777" w:rsidR="00D30882" w:rsidRPr="00C32603" w:rsidRDefault="00D30882" w:rsidP="000E18CA">
            <w:pPr>
              <w:spacing w:line="240" w:lineRule="auto"/>
              <w:jc w:val="center"/>
              <w:rPr>
                <w:sz w:val="16"/>
                <w:szCs w:val="16"/>
              </w:rPr>
            </w:pPr>
            <w:r w:rsidRPr="00C32603">
              <w:rPr>
                <w:sz w:val="16"/>
                <w:szCs w:val="16"/>
              </w:rPr>
              <w:t>2,5</w:t>
            </w:r>
          </w:p>
        </w:tc>
        <w:tc>
          <w:tcPr>
            <w:tcW w:w="236" w:type="dxa"/>
          </w:tcPr>
          <w:p w14:paraId="652B01C1"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3DEF3D07" w14:textId="77777777" w:rsidR="00D30882" w:rsidRPr="00C32603" w:rsidRDefault="00D30882" w:rsidP="000E18CA">
            <w:pPr>
              <w:spacing w:line="240" w:lineRule="auto"/>
              <w:jc w:val="center"/>
              <w:rPr>
                <w:sz w:val="16"/>
                <w:szCs w:val="16"/>
              </w:rPr>
            </w:pPr>
            <w:r w:rsidRPr="00C32603">
              <w:rPr>
                <w:sz w:val="16"/>
                <w:szCs w:val="16"/>
              </w:rPr>
              <w:t>5,5 / 5,1</w:t>
            </w:r>
          </w:p>
        </w:tc>
        <w:tc>
          <w:tcPr>
            <w:tcW w:w="236" w:type="dxa"/>
          </w:tcPr>
          <w:p w14:paraId="1E050F4F" w14:textId="77777777" w:rsidR="00D30882" w:rsidRPr="00C32603" w:rsidRDefault="00D30882" w:rsidP="000E18CA">
            <w:pPr>
              <w:spacing w:line="240" w:lineRule="auto"/>
              <w:jc w:val="center"/>
              <w:rPr>
                <w:sz w:val="16"/>
                <w:szCs w:val="16"/>
              </w:rPr>
            </w:pPr>
          </w:p>
        </w:tc>
        <w:tc>
          <w:tcPr>
            <w:tcW w:w="236" w:type="dxa"/>
            <w:vAlign w:val="center"/>
          </w:tcPr>
          <w:p w14:paraId="43291467" w14:textId="77777777" w:rsidR="00D30882" w:rsidRPr="00C32603" w:rsidRDefault="00D30882" w:rsidP="000E18CA">
            <w:pPr>
              <w:spacing w:line="240" w:lineRule="auto"/>
              <w:jc w:val="center"/>
              <w:rPr>
                <w:sz w:val="16"/>
                <w:szCs w:val="16"/>
              </w:rPr>
            </w:pPr>
          </w:p>
        </w:tc>
        <w:tc>
          <w:tcPr>
            <w:tcW w:w="1020" w:type="dxa"/>
            <w:tcBorders>
              <w:top w:val="single" w:sz="4" w:space="0" w:color="000000"/>
            </w:tcBorders>
            <w:vAlign w:val="center"/>
          </w:tcPr>
          <w:p w14:paraId="1A0090EE" w14:textId="77777777" w:rsidR="00D30882" w:rsidRPr="00C32603" w:rsidRDefault="00D30882" w:rsidP="000E18CA">
            <w:pPr>
              <w:spacing w:line="240" w:lineRule="auto"/>
              <w:jc w:val="center"/>
              <w:rPr>
                <w:sz w:val="16"/>
                <w:szCs w:val="16"/>
              </w:rPr>
            </w:pPr>
            <w:r w:rsidRPr="00C32603">
              <w:rPr>
                <w:sz w:val="16"/>
                <w:szCs w:val="16"/>
              </w:rPr>
              <w:t>32</w:t>
            </w:r>
          </w:p>
        </w:tc>
        <w:tc>
          <w:tcPr>
            <w:tcW w:w="236" w:type="dxa"/>
            <w:vAlign w:val="center"/>
          </w:tcPr>
          <w:p w14:paraId="22C4C850" w14:textId="77777777" w:rsidR="00D30882" w:rsidRPr="00C32603" w:rsidRDefault="00D30882" w:rsidP="000E18CA">
            <w:pPr>
              <w:spacing w:line="240" w:lineRule="auto"/>
              <w:rPr>
                <w:sz w:val="16"/>
                <w:szCs w:val="16"/>
              </w:rPr>
            </w:pPr>
          </w:p>
        </w:tc>
        <w:tc>
          <w:tcPr>
            <w:tcW w:w="850" w:type="dxa"/>
            <w:tcBorders>
              <w:top w:val="single" w:sz="4" w:space="0" w:color="000000"/>
            </w:tcBorders>
            <w:vAlign w:val="center"/>
          </w:tcPr>
          <w:p w14:paraId="72457455" w14:textId="77777777" w:rsidR="00D30882" w:rsidRPr="00C32603" w:rsidRDefault="00D30882" w:rsidP="000E18CA">
            <w:pPr>
              <w:spacing w:line="240" w:lineRule="auto"/>
              <w:jc w:val="center"/>
              <w:rPr>
                <w:sz w:val="16"/>
                <w:szCs w:val="16"/>
              </w:rPr>
            </w:pPr>
            <w:r w:rsidRPr="00C32603">
              <w:rPr>
                <w:sz w:val="16"/>
                <w:szCs w:val="16"/>
              </w:rPr>
              <w:t>65</w:t>
            </w:r>
          </w:p>
        </w:tc>
      </w:tr>
      <w:tr w:rsidR="00D30882" w:rsidRPr="00C32603" w14:paraId="4BA7E528" w14:textId="77777777" w:rsidTr="0016134D">
        <w:tc>
          <w:tcPr>
            <w:tcW w:w="2127" w:type="dxa"/>
            <w:tcBorders>
              <w:top w:val="single" w:sz="4" w:space="0" w:color="000000"/>
            </w:tcBorders>
            <w:vAlign w:val="center"/>
          </w:tcPr>
          <w:p w14:paraId="51A668BC" w14:textId="77777777" w:rsidR="00D30882" w:rsidRPr="00C32603" w:rsidRDefault="00D30882" w:rsidP="000E18CA">
            <w:pPr>
              <w:spacing w:line="240" w:lineRule="auto"/>
              <w:rPr>
                <w:sz w:val="16"/>
                <w:szCs w:val="16"/>
              </w:rPr>
            </w:pPr>
            <w:r w:rsidRPr="00C32603">
              <w:rPr>
                <w:sz w:val="16"/>
                <w:szCs w:val="16"/>
              </w:rPr>
              <w:t>Intel Core 5 213PE</w:t>
            </w:r>
          </w:p>
        </w:tc>
        <w:tc>
          <w:tcPr>
            <w:tcW w:w="254" w:type="dxa"/>
            <w:vAlign w:val="center"/>
          </w:tcPr>
          <w:p w14:paraId="780CE177" w14:textId="77777777" w:rsidR="00D30882" w:rsidRPr="00C32603" w:rsidRDefault="00D30882" w:rsidP="000E18CA">
            <w:pPr>
              <w:spacing w:line="240" w:lineRule="auto"/>
              <w:rPr>
                <w:sz w:val="16"/>
                <w:szCs w:val="16"/>
              </w:rPr>
            </w:pPr>
          </w:p>
        </w:tc>
        <w:tc>
          <w:tcPr>
            <w:tcW w:w="907" w:type="dxa"/>
            <w:tcBorders>
              <w:top w:val="single" w:sz="4" w:space="0" w:color="000000"/>
            </w:tcBorders>
            <w:vAlign w:val="center"/>
          </w:tcPr>
          <w:p w14:paraId="21328506" w14:textId="77777777" w:rsidR="00D30882" w:rsidRPr="00C32603" w:rsidRDefault="00D30882" w:rsidP="000E18CA">
            <w:pPr>
              <w:spacing w:line="240" w:lineRule="auto"/>
              <w:jc w:val="center"/>
              <w:rPr>
                <w:sz w:val="16"/>
                <w:szCs w:val="16"/>
              </w:rPr>
            </w:pPr>
            <w:r w:rsidRPr="00C32603">
              <w:rPr>
                <w:sz w:val="16"/>
                <w:szCs w:val="16"/>
              </w:rPr>
              <w:t>8 (8+0)</w:t>
            </w:r>
          </w:p>
        </w:tc>
        <w:tc>
          <w:tcPr>
            <w:tcW w:w="236" w:type="dxa"/>
            <w:vAlign w:val="center"/>
          </w:tcPr>
          <w:p w14:paraId="2A25F526"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0D3A6E9A" w14:textId="77777777" w:rsidR="00D30882" w:rsidRPr="00C32603" w:rsidRDefault="00D30882" w:rsidP="000E18CA">
            <w:pPr>
              <w:spacing w:line="240" w:lineRule="auto"/>
              <w:jc w:val="center"/>
              <w:rPr>
                <w:sz w:val="16"/>
                <w:szCs w:val="16"/>
              </w:rPr>
            </w:pPr>
            <w:r w:rsidRPr="00C32603">
              <w:rPr>
                <w:sz w:val="16"/>
                <w:szCs w:val="16"/>
              </w:rPr>
              <w:t>2,7</w:t>
            </w:r>
          </w:p>
        </w:tc>
        <w:tc>
          <w:tcPr>
            <w:tcW w:w="236" w:type="dxa"/>
          </w:tcPr>
          <w:p w14:paraId="15B1BB7A" w14:textId="77777777" w:rsidR="00D30882" w:rsidRPr="00C32603" w:rsidRDefault="00D30882" w:rsidP="000E18CA">
            <w:pPr>
              <w:spacing w:line="240" w:lineRule="auto"/>
              <w:jc w:val="center"/>
              <w:rPr>
                <w:sz w:val="16"/>
                <w:szCs w:val="16"/>
              </w:rPr>
            </w:pPr>
          </w:p>
        </w:tc>
        <w:tc>
          <w:tcPr>
            <w:tcW w:w="1191" w:type="dxa"/>
            <w:tcBorders>
              <w:top w:val="single" w:sz="4" w:space="0" w:color="000000"/>
            </w:tcBorders>
            <w:vAlign w:val="center"/>
          </w:tcPr>
          <w:p w14:paraId="5E71ED44" w14:textId="77777777" w:rsidR="00D30882" w:rsidRPr="00C32603" w:rsidRDefault="00D30882" w:rsidP="000E18CA">
            <w:pPr>
              <w:spacing w:line="240" w:lineRule="auto"/>
              <w:jc w:val="center"/>
              <w:rPr>
                <w:sz w:val="16"/>
                <w:szCs w:val="16"/>
              </w:rPr>
            </w:pPr>
            <w:r w:rsidRPr="00C32603">
              <w:rPr>
                <w:sz w:val="16"/>
                <w:szCs w:val="16"/>
              </w:rPr>
              <w:t>5,2 / 4,6</w:t>
            </w:r>
          </w:p>
        </w:tc>
        <w:tc>
          <w:tcPr>
            <w:tcW w:w="236" w:type="dxa"/>
          </w:tcPr>
          <w:p w14:paraId="53A84183" w14:textId="77777777" w:rsidR="00D30882" w:rsidRPr="00C32603" w:rsidRDefault="00D30882" w:rsidP="000E18CA">
            <w:pPr>
              <w:spacing w:line="240" w:lineRule="auto"/>
              <w:jc w:val="center"/>
              <w:rPr>
                <w:sz w:val="16"/>
                <w:szCs w:val="16"/>
              </w:rPr>
            </w:pPr>
          </w:p>
        </w:tc>
        <w:tc>
          <w:tcPr>
            <w:tcW w:w="236" w:type="dxa"/>
            <w:vAlign w:val="center"/>
          </w:tcPr>
          <w:p w14:paraId="78E6296F" w14:textId="77777777" w:rsidR="00D30882" w:rsidRPr="00C32603" w:rsidRDefault="00D30882" w:rsidP="000E18CA">
            <w:pPr>
              <w:spacing w:line="240" w:lineRule="auto"/>
              <w:jc w:val="center"/>
              <w:rPr>
                <w:sz w:val="16"/>
                <w:szCs w:val="16"/>
              </w:rPr>
            </w:pPr>
          </w:p>
        </w:tc>
        <w:tc>
          <w:tcPr>
            <w:tcW w:w="1020" w:type="dxa"/>
            <w:tcBorders>
              <w:top w:val="single" w:sz="4" w:space="0" w:color="000000"/>
            </w:tcBorders>
            <w:vAlign w:val="center"/>
          </w:tcPr>
          <w:p w14:paraId="30D08847" w14:textId="77777777" w:rsidR="00D30882" w:rsidRPr="00C32603" w:rsidRDefault="00D30882" w:rsidP="000E18CA">
            <w:pPr>
              <w:spacing w:line="240" w:lineRule="auto"/>
              <w:jc w:val="center"/>
              <w:rPr>
                <w:sz w:val="16"/>
                <w:szCs w:val="16"/>
              </w:rPr>
            </w:pPr>
            <w:r w:rsidRPr="00C32603">
              <w:rPr>
                <w:sz w:val="16"/>
                <w:szCs w:val="16"/>
              </w:rPr>
              <w:t>24</w:t>
            </w:r>
          </w:p>
        </w:tc>
        <w:tc>
          <w:tcPr>
            <w:tcW w:w="236" w:type="dxa"/>
            <w:vAlign w:val="center"/>
          </w:tcPr>
          <w:p w14:paraId="4B08D67F" w14:textId="77777777" w:rsidR="00D30882" w:rsidRPr="00C32603" w:rsidRDefault="00D30882" w:rsidP="000E18CA">
            <w:pPr>
              <w:spacing w:line="240" w:lineRule="auto"/>
              <w:rPr>
                <w:sz w:val="16"/>
                <w:szCs w:val="16"/>
              </w:rPr>
            </w:pPr>
          </w:p>
        </w:tc>
        <w:tc>
          <w:tcPr>
            <w:tcW w:w="850" w:type="dxa"/>
            <w:tcBorders>
              <w:top w:val="single" w:sz="4" w:space="0" w:color="000000"/>
            </w:tcBorders>
            <w:vAlign w:val="center"/>
          </w:tcPr>
          <w:p w14:paraId="2D19A3A6" w14:textId="77777777" w:rsidR="00D30882" w:rsidRPr="00C32603" w:rsidRDefault="00D30882" w:rsidP="000E18CA">
            <w:pPr>
              <w:spacing w:line="240" w:lineRule="auto"/>
              <w:jc w:val="center"/>
              <w:rPr>
                <w:sz w:val="16"/>
                <w:szCs w:val="16"/>
              </w:rPr>
            </w:pPr>
            <w:r w:rsidRPr="00C32603">
              <w:rPr>
                <w:sz w:val="16"/>
                <w:szCs w:val="16"/>
              </w:rPr>
              <w:t>65</w:t>
            </w:r>
          </w:p>
        </w:tc>
      </w:tr>
    </w:tbl>
    <w:p w14:paraId="33D9C63C" w14:textId="77777777" w:rsidR="00A535A8" w:rsidRDefault="00A535A8" w:rsidP="000E18CA">
      <w:pPr>
        <w:pStyle w:val="StandardWeb"/>
        <w:spacing w:before="0" w:beforeAutospacing="0" w:after="0" w:afterAutospacing="0"/>
      </w:pPr>
    </w:p>
    <w:p w14:paraId="316AC5E6" w14:textId="77777777" w:rsidR="000A5B71" w:rsidRPr="009507AA" w:rsidRDefault="000A5B71" w:rsidP="000E18CA"/>
    <w:p w14:paraId="12D00BC9" w14:textId="41619ACA" w:rsidR="00590E32" w:rsidRPr="00590E32" w:rsidRDefault="00590E32" w:rsidP="00590E32">
      <w:pPr>
        <w:spacing w:line="240" w:lineRule="auto"/>
        <w:jc w:val="center"/>
        <w:rPr>
          <w:rFonts w:eastAsia="Arial"/>
          <w:lang w:val="de-DE"/>
        </w:rPr>
      </w:pPr>
      <w:r w:rsidRPr="00590E32">
        <w:rPr>
          <w:rFonts w:eastAsia="Arial"/>
        </w:rPr>
        <w:t>* * *</w:t>
      </w:r>
    </w:p>
    <w:p w14:paraId="5260D1B8" w14:textId="77777777" w:rsidR="00590E32" w:rsidRPr="00590E32" w:rsidRDefault="00590E32" w:rsidP="00590E32">
      <w:pPr>
        <w:spacing w:line="240" w:lineRule="auto"/>
        <w:rPr>
          <w:rFonts w:eastAsia="Arial"/>
          <w:lang w:val="de-DE"/>
        </w:rPr>
      </w:pPr>
      <w:r w:rsidRPr="00590E32">
        <w:rPr>
          <w:rFonts w:eastAsia="Arial"/>
          <w:b/>
          <w:bCs/>
        </w:rPr>
        <w:t>About </w:t>
      </w:r>
      <w:proofErr w:type="spellStart"/>
      <w:r w:rsidRPr="00590E32">
        <w:rPr>
          <w:rFonts w:eastAsia="Arial"/>
          <w:b/>
          <w:bCs/>
        </w:rPr>
        <w:t>congatec</w:t>
      </w:r>
      <w:proofErr w:type="spellEnd"/>
      <w:r w:rsidRPr="00590E32">
        <w:rPr>
          <w:rFonts w:eastAsia="Arial"/>
        </w:rPr>
        <w:t> </w:t>
      </w:r>
      <w:r w:rsidRPr="00590E32">
        <w:rPr>
          <w:rFonts w:eastAsia="Arial"/>
          <w:lang w:val="de-DE"/>
        </w:rPr>
        <w:t> </w:t>
      </w:r>
    </w:p>
    <w:p w14:paraId="675A666B" w14:textId="77777777" w:rsidR="00590E32" w:rsidRPr="00590E32" w:rsidRDefault="00590E32" w:rsidP="00590E32">
      <w:pPr>
        <w:spacing w:line="240" w:lineRule="auto"/>
        <w:rPr>
          <w:rFonts w:eastAsia="Arial"/>
        </w:rPr>
      </w:pPr>
      <w:proofErr w:type="spellStart"/>
      <w:r w:rsidRPr="00590E32">
        <w:rPr>
          <w:rFonts w:eastAsia="Arial"/>
        </w:rPr>
        <w:t>congatec</w:t>
      </w:r>
      <w:proofErr w:type="spellEnd"/>
      <w:r w:rsidRPr="00590E32">
        <w:rPr>
          <w:rFonts w:eastAsia="Arial"/>
        </w:rPr>
        <w:t> is the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w:t>
      </w:r>
      <w:proofErr w:type="spellStart"/>
      <w:r w:rsidRPr="00590E32">
        <w:rPr>
          <w:rFonts w:eastAsia="Arial"/>
        </w:rPr>
        <w:t>congatec's</w:t>
      </w:r>
      <w:proofErr w:type="spellEnd"/>
      <w:r w:rsidRPr="00590E32">
        <w:rPr>
          <w:rFonts w:eastAsia="Arial"/>
        </w:rPr>
        <w:t> high-performance </w:t>
      </w:r>
      <w:proofErr w:type="spellStart"/>
      <w:r w:rsidRPr="00590E32">
        <w:rPr>
          <w:rFonts w:eastAsia="Arial"/>
        </w:rPr>
        <w:t>aReady</w:t>
      </w:r>
      <w:proofErr w:type="spellEnd"/>
      <w:r w:rsidRPr="00590E32">
        <w:rPr>
          <w:rFonts w:eastAsia="Arial"/>
        </w:rPr>
        <w:t>.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w:t>
      </w:r>
      <w:proofErr w:type="spellStart"/>
      <w:r w:rsidRPr="00590E32">
        <w:rPr>
          <w:rFonts w:eastAsia="Arial"/>
        </w:rPr>
        <w:t>congatec</w:t>
      </w:r>
      <w:proofErr w:type="spellEnd"/>
      <w:r w:rsidRPr="00590E32">
        <w:rPr>
          <w:rFonts w:eastAsia="Arial"/>
        </w:rPr>
        <w:t> has the financial backing and M&amp;A expertise to capitalize on expanding market opportunities. For more information, visit </w:t>
      </w:r>
      <w:hyperlink r:id="rId14" w:tgtFrame="_blank" w:history="1">
        <w:r w:rsidRPr="00590E32">
          <w:rPr>
            <w:rStyle w:val="Hyperlink"/>
            <w:rFonts w:eastAsia="Arial"/>
          </w:rPr>
          <w:t>congatec.com</w:t>
        </w:r>
      </w:hyperlink>
      <w:r w:rsidRPr="00590E32">
        <w:rPr>
          <w:rFonts w:eastAsia="Arial"/>
        </w:rPr>
        <w:t>, </w:t>
      </w:r>
      <w:hyperlink r:id="rId15" w:tgtFrame="_blank" w:history="1">
        <w:r w:rsidRPr="00590E32">
          <w:rPr>
            <w:rStyle w:val="Hyperlink"/>
            <w:rFonts w:eastAsia="Arial"/>
          </w:rPr>
          <w:t>aReady.com</w:t>
        </w:r>
      </w:hyperlink>
      <w:r w:rsidRPr="00590E32">
        <w:rPr>
          <w:rFonts w:eastAsia="Arial"/>
        </w:rPr>
        <w:t>, or follow us on </w:t>
      </w:r>
      <w:hyperlink r:id="rId16" w:tgtFrame="_blank" w:history="1">
        <w:r w:rsidRPr="00590E32">
          <w:rPr>
            <w:rStyle w:val="Hyperlink"/>
            <w:rFonts w:eastAsia="Arial"/>
          </w:rPr>
          <w:t>LinkedIn</w:t>
        </w:r>
      </w:hyperlink>
      <w:r w:rsidRPr="00590E32">
        <w:rPr>
          <w:rFonts w:eastAsia="Arial"/>
        </w:rPr>
        <w:t> and </w:t>
      </w:r>
      <w:hyperlink r:id="rId17" w:tgtFrame="_blank" w:history="1">
        <w:r w:rsidRPr="00590E32">
          <w:rPr>
            <w:rStyle w:val="Hyperlink"/>
            <w:rFonts w:eastAsia="Arial"/>
          </w:rPr>
          <w:t>YouTube</w:t>
        </w:r>
      </w:hyperlink>
      <w:r w:rsidRPr="00590E32">
        <w:rPr>
          <w:rFonts w:eastAsia="Arial"/>
        </w:rPr>
        <w:t>.  </w:t>
      </w:r>
    </w:p>
    <w:p w14:paraId="12180A44" w14:textId="77777777" w:rsidR="00590E32" w:rsidRPr="00590E32" w:rsidRDefault="00590E32" w:rsidP="00590E32">
      <w:pPr>
        <w:spacing w:line="240" w:lineRule="auto"/>
        <w:rPr>
          <w:rFonts w:eastAsia="Arial"/>
        </w:rPr>
      </w:pPr>
      <w:r w:rsidRPr="00590E32">
        <w:rPr>
          <w:rFonts w:eastAsia="Arial"/>
        </w:rPr>
        <w:t> </w:t>
      </w:r>
    </w:p>
    <w:p w14:paraId="3F4E7BB0" w14:textId="77777777" w:rsidR="00590E32" w:rsidRPr="00590E32" w:rsidRDefault="00590E32" w:rsidP="00590E32">
      <w:pPr>
        <w:spacing w:line="240" w:lineRule="auto"/>
        <w:rPr>
          <w:rFonts w:eastAsia="Arial"/>
        </w:rPr>
      </w:pPr>
      <w:r w:rsidRPr="00590E32">
        <w:rPr>
          <w:rFonts w:eastAsia="Arial"/>
        </w:rPr>
        <w:t> </w:t>
      </w:r>
    </w:p>
    <w:p w14:paraId="40EBF67D" w14:textId="77777777" w:rsidR="00590E32" w:rsidRPr="00590E32" w:rsidRDefault="00590E32" w:rsidP="00590E32">
      <w:pPr>
        <w:spacing w:line="240" w:lineRule="auto"/>
        <w:rPr>
          <w:rFonts w:eastAsia="Arial"/>
        </w:rPr>
      </w:pPr>
      <w:r w:rsidRPr="00590E32">
        <w:rPr>
          <w:rFonts w:eastAsia="Arial"/>
          <w:b/>
          <w:bCs/>
        </w:rPr>
        <w:t>Reader Enquiries:</w:t>
      </w:r>
      <w:r w:rsidRPr="00590E32">
        <w:rPr>
          <w:rFonts w:eastAsia="Arial"/>
        </w:rPr>
        <w:t> </w:t>
      </w:r>
    </w:p>
    <w:p w14:paraId="375BF44D" w14:textId="77777777" w:rsidR="00590E32" w:rsidRPr="00590E32" w:rsidRDefault="00590E32" w:rsidP="00590E32">
      <w:pPr>
        <w:spacing w:line="240" w:lineRule="auto"/>
        <w:rPr>
          <w:rFonts w:eastAsia="Arial"/>
        </w:rPr>
      </w:pPr>
      <w:proofErr w:type="spellStart"/>
      <w:r w:rsidRPr="00590E32">
        <w:rPr>
          <w:rFonts w:eastAsia="Arial"/>
        </w:rPr>
        <w:t>congatec</w:t>
      </w:r>
      <w:proofErr w:type="spellEnd"/>
      <w:r w:rsidRPr="00590E32">
        <w:rPr>
          <w:rFonts w:eastAsia="Arial"/>
        </w:rPr>
        <w:t> </w:t>
      </w:r>
    </w:p>
    <w:p w14:paraId="5DB7EE1C" w14:textId="77777777" w:rsidR="00590E32" w:rsidRPr="00590E32" w:rsidRDefault="00590E32" w:rsidP="00590E32">
      <w:pPr>
        <w:spacing w:line="240" w:lineRule="auto"/>
        <w:rPr>
          <w:rFonts w:eastAsia="Arial"/>
        </w:rPr>
      </w:pPr>
      <w:r w:rsidRPr="00590E32">
        <w:rPr>
          <w:rFonts w:eastAsia="Arial"/>
        </w:rPr>
        <w:t>Dan Demers  </w:t>
      </w:r>
    </w:p>
    <w:p w14:paraId="74369497" w14:textId="77777777" w:rsidR="00590E32" w:rsidRPr="00590E32" w:rsidRDefault="00590E32" w:rsidP="00590E32">
      <w:pPr>
        <w:spacing w:line="240" w:lineRule="auto"/>
        <w:rPr>
          <w:rFonts w:eastAsia="Arial"/>
        </w:rPr>
      </w:pPr>
      <w:r w:rsidRPr="00590E32">
        <w:rPr>
          <w:rFonts w:eastAsia="Arial"/>
        </w:rPr>
        <w:t>Phone: 858-457-2600 </w:t>
      </w:r>
    </w:p>
    <w:p w14:paraId="6CEF5EB0" w14:textId="77777777" w:rsidR="00590E32" w:rsidRPr="00590E32" w:rsidRDefault="00590E32" w:rsidP="00590E32">
      <w:pPr>
        <w:spacing w:line="240" w:lineRule="auto"/>
        <w:rPr>
          <w:rFonts w:eastAsia="Arial"/>
        </w:rPr>
      </w:pPr>
      <w:hyperlink r:id="rId18" w:tgtFrame="_blank" w:history="1">
        <w:r w:rsidRPr="00590E32">
          <w:rPr>
            <w:rStyle w:val="Hyperlink"/>
            <w:rFonts w:eastAsia="Arial"/>
          </w:rPr>
          <w:t>Dan.Demers@congatec.com</w:t>
        </w:r>
      </w:hyperlink>
      <w:r w:rsidRPr="00590E32">
        <w:rPr>
          <w:rFonts w:eastAsia="Arial"/>
        </w:rPr>
        <w:t> </w:t>
      </w:r>
    </w:p>
    <w:p w14:paraId="36106D44" w14:textId="77777777" w:rsidR="00590E32" w:rsidRPr="00590E32" w:rsidRDefault="00590E32" w:rsidP="00590E32">
      <w:pPr>
        <w:spacing w:line="240" w:lineRule="auto"/>
        <w:rPr>
          <w:rFonts w:eastAsia="Arial"/>
        </w:rPr>
      </w:pPr>
      <w:hyperlink r:id="rId19" w:tgtFrame="_blank" w:history="1">
        <w:r w:rsidRPr="00590E32">
          <w:rPr>
            <w:rStyle w:val="Hyperlink"/>
            <w:rFonts w:eastAsia="Arial"/>
          </w:rPr>
          <w:t>www.congatec.us</w:t>
        </w:r>
      </w:hyperlink>
      <w:r w:rsidRPr="00590E32">
        <w:rPr>
          <w:rFonts w:eastAsia="Arial"/>
        </w:rPr>
        <w:t> </w:t>
      </w:r>
    </w:p>
    <w:p w14:paraId="2F3C8FC3" w14:textId="77777777" w:rsidR="00590E32" w:rsidRPr="00590E32" w:rsidRDefault="00590E32" w:rsidP="00590E32">
      <w:pPr>
        <w:spacing w:line="240" w:lineRule="auto"/>
        <w:rPr>
          <w:rFonts w:eastAsia="Arial"/>
        </w:rPr>
      </w:pPr>
      <w:r w:rsidRPr="00590E32">
        <w:rPr>
          <w:rFonts w:eastAsia="Arial"/>
        </w:rPr>
        <w:t> </w:t>
      </w:r>
    </w:p>
    <w:p w14:paraId="4163FF4F" w14:textId="77777777" w:rsidR="00590E32" w:rsidRPr="00590E32" w:rsidRDefault="00590E32" w:rsidP="00590E32">
      <w:pPr>
        <w:spacing w:line="240" w:lineRule="auto"/>
        <w:rPr>
          <w:rFonts w:eastAsia="Arial"/>
        </w:rPr>
      </w:pPr>
      <w:r w:rsidRPr="00590E32">
        <w:rPr>
          <w:rFonts w:eastAsia="Arial"/>
          <w:b/>
          <w:bCs/>
        </w:rPr>
        <w:t>Press Contact:</w:t>
      </w:r>
      <w:r w:rsidRPr="00590E32">
        <w:rPr>
          <w:rFonts w:eastAsia="Arial"/>
        </w:rPr>
        <w:t> </w:t>
      </w:r>
    </w:p>
    <w:p w14:paraId="344660E0" w14:textId="77777777" w:rsidR="00590E32" w:rsidRPr="00590E32" w:rsidRDefault="00590E32" w:rsidP="00590E32">
      <w:pPr>
        <w:spacing w:line="240" w:lineRule="auto"/>
        <w:rPr>
          <w:rFonts w:eastAsia="Arial"/>
        </w:rPr>
      </w:pPr>
      <w:proofErr w:type="spellStart"/>
      <w:r w:rsidRPr="00590E32">
        <w:rPr>
          <w:rFonts w:eastAsia="Arial"/>
        </w:rPr>
        <w:t>congatec</w:t>
      </w:r>
      <w:proofErr w:type="spellEnd"/>
      <w:r w:rsidRPr="00590E32">
        <w:rPr>
          <w:rFonts w:eastAsia="Arial"/>
        </w:rPr>
        <w:t>  </w:t>
      </w:r>
    </w:p>
    <w:p w14:paraId="0AFF4FCA" w14:textId="77777777" w:rsidR="00590E32" w:rsidRPr="00590E32" w:rsidRDefault="00590E32" w:rsidP="00590E32">
      <w:pPr>
        <w:spacing w:line="240" w:lineRule="auto"/>
        <w:rPr>
          <w:rFonts w:eastAsia="Arial"/>
        </w:rPr>
      </w:pPr>
      <w:r w:rsidRPr="00590E32">
        <w:rPr>
          <w:rFonts w:eastAsia="Arial"/>
        </w:rPr>
        <w:t>Janene Rae </w:t>
      </w:r>
    </w:p>
    <w:p w14:paraId="7FA4A6C3" w14:textId="77777777" w:rsidR="00590E32" w:rsidRPr="00590E32" w:rsidRDefault="00590E32" w:rsidP="00590E32">
      <w:pPr>
        <w:spacing w:line="240" w:lineRule="auto"/>
        <w:rPr>
          <w:rFonts w:eastAsia="Arial"/>
        </w:rPr>
      </w:pPr>
      <w:r w:rsidRPr="00590E32">
        <w:rPr>
          <w:rFonts w:eastAsia="Arial"/>
        </w:rPr>
        <w:t>Phone: 858-457-2600 </w:t>
      </w:r>
    </w:p>
    <w:p w14:paraId="6A9E7163" w14:textId="77777777" w:rsidR="00590E32" w:rsidRPr="00590E32" w:rsidRDefault="00590E32" w:rsidP="00590E32">
      <w:pPr>
        <w:spacing w:line="240" w:lineRule="auto"/>
        <w:rPr>
          <w:rFonts w:eastAsia="Arial"/>
        </w:rPr>
      </w:pPr>
      <w:hyperlink r:id="rId20" w:tgtFrame="_blank" w:history="1">
        <w:r w:rsidRPr="00590E32">
          <w:rPr>
            <w:rStyle w:val="Hyperlink"/>
            <w:rFonts w:eastAsia="Arial"/>
          </w:rPr>
          <w:t>janene.rae@congatec.com</w:t>
        </w:r>
      </w:hyperlink>
      <w:r w:rsidRPr="00590E32">
        <w:rPr>
          <w:rFonts w:eastAsia="Arial"/>
        </w:rPr>
        <w:t> </w:t>
      </w:r>
    </w:p>
    <w:p w14:paraId="5B70C831" w14:textId="77777777" w:rsidR="00590E32" w:rsidRPr="00590E32" w:rsidRDefault="00590E32" w:rsidP="00590E32">
      <w:pPr>
        <w:spacing w:line="240" w:lineRule="auto"/>
        <w:rPr>
          <w:rFonts w:eastAsia="Arial"/>
          <w:lang w:val="de-DE"/>
        </w:rPr>
      </w:pPr>
      <w:hyperlink r:id="rId21" w:tgtFrame="_blank" w:history="1">
        <w:r w:rsidRPr="00590E32">
          <w:rPr>
            <w:rStyle w:val="Hyperlink"/>
            <w:rFonts w:eastAsia="Arial"/>
          </w:rPr>
          <w:t>www.congatec.us</w:t>
        </w:r>
      </w:hyperlink>
      <w:r w:rsidRPr="00590E32">
        <w:rPr>
          <w:rFonts w:eastAsia="Arial"/>
          <w:lang w:val="de-DE"/>
        </w:rPr>
        <w:t> </w:t>
      </w:r>
    </w:p>
    <w:p w14:paraId="26FF7293" w14:textId="3B755F4F" w:rsidR="009D5A39" w:rsidRPr="000A5690" w:rsidRDefault="009D5A39" w:rsidP="000E18CA">
      <w:pPr>
        <w:spacing w:line="240" w:lineRule="auto"/>
        <w:rPr>
          <w:rStyle w:val="Hyperlink"/>
          <w:rFonts w:eastAsiaTheme="majorEastAsia"/>
        </w:rPr>
      </w:pPr>
    </w:p>
    <w:sectPr w:rsidR="009D5A39" w:rsidRPr="000A5690" w:rsidSect="00B62671">
      <w:headerReference w:type="default" r:id="rId22"/>
      <w:footerReference w:type="default" r:id="rId23"/>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A653" w14:textId="77777777" w:rsidR="00E647A7" w:rsidRDefault="00E647A7" w:rsidP="004E283C">
      <w:r>
        <w:separator/>
      </w:r>
    </w:p>
  </w:endnote>
  <w:endnote w:type="continuationSeparator" w:id="0">
    <w:p w14:paraId="6ED42DC5" w14:textId="77777777" w:rsidR="00E647A7" w:rsidRDefault="00E647A7" w:rsidP="004E283C">
      <w:r>
        <w:continuationSeparator/>
      </w:r>
    </w:p>
  </w:endnote>
  <w:endnote w:type="continuationNotice" w:id="1">
    <w:p w14:paraId="06E5D4D6" w14:textId="77777777" w:rsidR="00E647A7" w:rsidRDefault="00E64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758C" w14:textId="77777777" w:rsidR="00E647A7" w:rsidRDefault="00E647A7" w:rsidP="004E283C">
      <w:r>
        <w:separator/>
      </w:r>
    </w:p>
  </w:footnote>
  <w:footnote w:type="continuationSeparator" w:id="0">
    <w:p w14:paraId="24C78BDA" w14:textId="77777777" w:rsidR="00E647A7" w:rsidRDefault="00E647A7" w:rsidP="004E283C">
      <w:r>
        <w:continuationSeparator/>
      </w:r>
    </w:p>
  </w:footnote>
  <w:footnote w:type="continuationNotice" w:id="1">
    <w:p w14:paraId="21C65448" w14:textId="77777777" w:rsidR="00E647A7" w:rsidRDefault="00E647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2338"/>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18CA"/>
    <w:rsid w:val="000E2307"/>
    <w:rsid w:val="000E395C"/>
    <w:rsid w:val="000E736A"/>
    <w:rsid w:val="000F15EB"/>
    <w:rsid w:val="000F34E8"/>
    <w:rsid w:val="00100CE2"/>
    <w:rsid w:val="00101DF6"/>
    <w:rsid w:val="00105BFE"/>
    <w:rsid w:val="00106F93"/>
    <w:rsid w:val="0011134D"/>
    <w:rsid w:val="00116A62"/>
    <w:rsid w:val="00123D77"/>
    <w:rsid w:val="00127761"/>
    <w:rsid w:val="00127DA1"/>
    <w:rsid w:val="00132DD8"/>
    <w:rsid w:val="00135EBC"/>
    <w:rsid w:val="00136787"/>
    <w:rsid w:val="00136E20"/>
    <w:rsid w:val="00137FB6"/>
    <w:rsid w:val="0014653E"/>
    <w:rsid w:val="0014730F"/>
    <w:rsid w:val="00157343"/>
    <w:rsid w:val="001741F9"/>
    <w:rsid w:val="00175EB3"/>
    <w:rsid w:val="00181222"/>
    <w:rsid w:val="00184D6F"/>
    <w:rsid w:val="001854B5"/>
    <w:rsid w:val="00187AFE"/>
    <w:rsid w:val="00190A0D"/>
    <w:rsid w:val="00191804"/>
    <w:rsid w:val="00191F41"/>
    <w:rsid w:val="001957E7"/>
    <w:rsid w:val="001A1ABC"/>
    <w:rsid w:val="001A277C"/>
    <w:rsid w:val="001A370C"/>
    <w:rsid w:val="001A594E"/>
    <w:rsid w:val="001B0700"/>
    <w:rsid w:val="001B6B34"/>
    <w:rsid w:val="001C0038"/>
    <w:rsid w:val="001C50C3"/>
    <w:rsid w:val="001D055C"/>
    <w:rsid w:val="001E05DF"/>
    <w:rsid w:val="001E2E5F"/>
    <w:rsid w:val="001E3D01"/>
    <w:rsid w:val="001E4FB1"/>
    <w:rsid w:val="001E7371"/>
    <w:rsid w:val="001F7DA7"/>
    <w:rsid w:val="002065F2"/>
    <w:rsid w:val="00212286"/>
    <w:rsid w:val="00223722"/>
    <w:rsid w:val="002248FF"/>
    <w:rsid w:val="00225147"/>
    <w:rsid w:val="00231F74"/>
    <w:rsid w:val="002368AC"/>
    <w:rsid w:val="002376DB"/>
    <w:rsid w:val="0024320A"/>
    <w:rsid w:val="00254FF0"/>
    <w:rsid w:val="0025509C"/>
    <w:rsid w:val="002571A3"/>
    <w:rsid w:val="0025796B"/>
    <w:rsid w:val="00265C83"/>
    <w:rsid w:val="00266958"/>
    <w:rsid w:val="00267709"/>
    <w:rsid w:val="00272EF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00A4C"/>
    <w:rsid w:val="0030687E"/>
    <w:rsid w:val="0031068D"/>
    <w:rsid w:val="00311214"/>
    <w:rsid w:val="00316678"/>
    <w:rsid w:val="0031667C"/>
    <w:rsid w:val="00331264"/>
    <w:rsid w:val="0033387F"/>
    <w:rsid w:val="00333EB3"/>
    <w:rsid w:val="00334450"/>
    <w:rsid w:val="0033610A"/>
    <w:rsid w:val="00336657"/>
    <w:rsid w:val="00337403"/>
    <w:rsid w:val="00337468"/>
    <w:rsid w:val="0034162E"/>
    <w:rsid w:val="0034266E"/>
    <w:rsid w:val="00342785"/>
    <w:rsid w:val="0035186F"/>
    <w:rsid w:val="00353C44"/>
    <w:rsid w:val="00353E12"/>
    <w:rsid w:val="0035632F"/>
    <w:rsid w:val="00360338"/>
    <w:rsid w:val="00361541"/>
    <w:rsid w:val="003674FC"/>
    <w:rsid w:val="00367C87"/>
    <w:rsid w:val="00371CDB"/>
    <w:rsid w:val="00380C8F"/>
    <w:rsid w:val="00381183"/>
    <w:rsid w:val="003839C2"/>
    <w:rsid w:val="0038418B"/>
    <w:rsid w:val="003853EC"/>
    <w:rsid w:val="00385A11"/>
    <w:rsid w:val="00386E85"/>
    <w:rsid w:val="00394EEA"/>
    <w:rsid w:val="00397797"/>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2876"/>
    <w:rsid w:val="003F3269"/>
    <w:rsid w:val="003F62FC"/>
    <w:rsid w:val="004012B4"/>
    <w:rsid w:val="00411346"/>
    <w:rsid w:val="00413FB9"/>
    <w:rsid w:val="00416562"/>
    <w:rsid w:val="00431604"/>
    <w:rsid w:val="00431712"/>
    <w:rsid w:val="00431F25"/>
    <w:rsid w:val="00443C7F"/>
    <w:rsid w:val="00446472"/>
    <w:rsid w:val="00450802"/>
    <w:rsid w:val="00450C5C"/>
    <w:rsid w:val="0045119F"/>
    <w:rsid w:val="00451C75"/>
    <w:rsid w:val="00451E34"/>
    <w:rsid w:val="0046052F"/>
    <w:rsid w:val="00462316"/>
    <w:rsid w:val="00466A57"/>
    <w:rsid w:val="004730C5"/>
    <w:rsid w:val="00475771"/>
    <w:rsid w:val="00476500"/>
    <w:rsid w:val="00480CD4"/>
    <w:rsid w:val="00482779"/>
    <w:rsid w:val="004841F7"/>
    <w:rsid w:val="0048544A"/>
    <w:rsid w:val="00490E6A"/>
    <w:rsid w:val="004930EB"/>
    <w:rsid w:val="00493F30"/>
    <w:rsid w:val="00495092"/>
    <w:rsid w:val="00497EB5"/>
    <w:rsid w:val="004A2EEC"/>
    <w:rsid w:val="004A6525"/>
    <w:rsid w:val="004B0B73"/>
    <w:rsid w:val="004B0E7E"/>
    <w:rsid w:val="004B1541"/>
    <w:rsid w:val="004B35A4"/>
    <w:rsid w:val="004B4B85"/>
    <w:rsid w:val="004C4128"/>
    <w:rsid w:val="004D2177"/>
    <w:rsid w:val="004D3BA0"/>
    <w:rsid w:val="004D7B33"/>
    <w:rsid w:val="004D7F6A"/>
    <w:rsid w:val="004E283C"/>
    <w:rsid w:val="004F08CB"/>
    <w:rsid w:val="004F16B7"/>
    <w:rsid w:val="00500D4B"/>
    <w:rsid w:val="00507107"/>
    <w:rsid w:val="00513692"/>
    <w:rsid w:val="005168E6"/>
    <w:rsid w:val="00527922"/>
    <w:rsid w:val="005368EB"/>
    <w:rsid w:val="00541D85"/>
    <w:rsid w:val="005502A5"/>
    <w:rsid w:val="0055046D"/>
    <w:rsid w:val="0055155D"/>
    <w:rsid w:val="005554CF"/>
    <w:rsid w:val="0055706B"/>
    <w:rsid w:val="00562DE3"/>
    <w:rsid w:val="005674E1"/>
    <w:rsid w:val="00570E32"/>
    <w:rsid w:val="00573859"/>
    <w:rsid w:val="0058053F"/>
    <w:rsid w:val="00583752"/>
    <w:rsid w:val="005876A1"/>
    <w:rsid w:val="005905AA"/>
    <w:rsid w:val="00590E32"/>
    <w:rsid w:val="005A656D"/>
    <w:rsid w:val="005B031E"/>
    <w:rsid w:val="005B049C"/>
    <w:rsid w:val="005B4653"/>
    <w:rsid w:val="005C00EA"/>
    <w:rsid w:val="005C35E2"/>
    <w:rsid w:val="005C585A"/>
    <w:rsid w:val="005C63F6"/>
    <w:rsid w:val="005C6F13"/>
    <w:rsid w:val="005D2D52"/>
    <w:rsid w:val="005D4E5B"/>
    <w:rsid w:val="005E03EB"/>
    <w:rsid w:val="005E2474"/>
    <w:rsid w:val="005E401C"/>
    <w:rsid w:val="005F08FF"/>
    <w:rsid w:val="005F1760"/>
    <w:rsid w:val="005F2D01"/>
    <w:rsid w:val="005F51B4"/>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50D54"/>
    <w:rsid w:val="00653613"/>
    <w:rsid w:val="006578A1"/>
    <w:rsid w:val="0066189A"/>
    <w:rsid w:val="00662AB5"/>
    <w:rsid w:val="00664028"/>
    <w:rsid w:val="00667B3E"/>
    <w:rsid w:val="0067240C"/>
    <w:rsid w:val="00673527"/>
    <w:rsid w:val="006842A2"/>
    <w:rsid w:val="00684BBC"/>
    <w:rsid w:val="00690ECD"/>
    <w:rsid w:val="00691EB9"/>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337"/>
    <w:rsid w:val="006F35F5"/>
    <w:rsid w:val="006F44E9"/>
    <w:rsid w:val="006F6952"/>
    <w:rsid w:val="006F7509"/>
    <w:rsid w:val="00702EC6"/>
    <w:rsid w:val="00703F23"/>
    <w:rsid w:val="00704670"/>
    <w:rsid w:val="00704C53"/>
    <w:rsid w:val="007055BE"/>
    <w:rsid w:val="00706359"/>
    <w:rsid w:val="00706CDC"/>
    <w:rsid w:val="007074D1"/>
    <w:rsid w:val="00712220"/>
    <w:rsid w:val="00716A15"/>
    <w:rsid w:val="0072445C"/>
    <w:rsid w:val="0072496B"/>
    <w:rsid w:val="00730753"/>
    <w:rsid w:val="007347A1"/>
    <w:rsid w:val="00735FC8"/>
    <w:rsid w:val="007372D4"/>
    <w:rsid w:val="00740CE2"/>
    <w:rsid w:val="00745D08"/>
    <w:rsid w:val="00745E4D"/>
    <w:rsid w:val="00747135"/>
    <w:rsid w:val="00747A2A"/>
    <w:rsid w:val="00751A5C"/>
    <w:rsid w:val="007527B5"/>
    <w:rsid w:val="00763D03"/>
    <w:rsid w:val="00765372"/>
    <w:rsid w:val="00765B08"/>
    <w:rsid w:val="00767A44"/>
    <w:rsid w:val="00771AFC"/>
    <w:rsid w:val="00771EDD"/>
    <w:rsid w:val="007735F0"/>
    <w:rsid w:val="0077601C"/>
    <w:rsid w:val="00776AE3"/>
    <w:rsid w:val="00784949"/>
    <w:rsid w:val="00786EF8"/>
    <w:rsid w:val="0078770A"/>
    <w:rsid w:val="007923DD"/>
    <w:rsid w:val="0079344C"/>
    <w:rsid w:val="00795F3E"/>
    <w:rsid w:val="00796054"/>
    <w:rsid w:val="00796459"/>
    <w:rsid w:val="007A073A"/>
    <w:rsid w:val="007A1EAB"/>
    <w:rsid w:val="007A2866"/>
    <w:rsid w:val="007A3A88"/>
    <w:rsid w:val="007B3E5E"/>
    <w:rsid w:val="007B4609"/>
    <w:rsid w:val="007B794A"/>
    <w:rsid w:val="007C158F"/>
    <w:rsid w:val="007C17EE"/>
    <w:rsid w:val="007C4039"/>
    <w:rsid w:val="007C46E3"/>
    <w:rsid w:val="007C5914"/>
    <w:rsid w:val="007D1C15"/>
    <w:rsid w:val="007E0AEB"/>
    <w:rsid w:val="007E5156"/>
    <w:rsid w:val="007E752C"/>
    <w:rsid w:val="007F15A1"/>
    <w:rsid w:val="007F3D6F"/>
    <w:rsid w:val="00800B73"/>
    <w:rsid w:val="008014CA"/>
    <w:rsid w:val="008021E1"/>
    <w:rsid w:val="00802982"/>
    <w:rsid w:val="0080538D"/>
    <w:rsid w:val="00810AD6"/>
    <w:rsid w:val="008119CB"/>
    <w:rsid w:val="00811DF5"/>
    <w:rsid w:val="00812EAC"/>
    <w:rsid w:val="00813BC0"/>
    <w:rsid w:val="00815A0F"/>
    <w:rsid w:val="0082049A"/>
    <w:rsid w:val="0082293F"/>
    <w:rsid w:val="00827183"/>
    <w:rsid w:val="00832012"/>
    <w:rsid w:val="008326A9"/>
    <w:rsid w:val="0083578B"/>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4523"/>
    <w:rsid w:val="008851D2"/>
    <w:rsid w:val="00886219"/>
    <w:rsid w:val="00892F20"/>
    <w:rsid w:val="00896530"/>
    <w:rsid w:val="00897D1F"/>
    <w:rsid w:val="008A3AC6"/>
    <w:rsid w:val="008A6FAD"/>
    <w:rsid w:val="008B4A04"/>
    <w:rsid w:val="008B58DB"/>
    <w:rsid w:val="008C012F"/>
    <w:rsid w:val="008C136D"/>
    <w:rsid w:val="008D24CD"/>
    <w:rsid w:val="008E5038"/>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46FDE"/>
    <w:rsid w:val="00947D1B"/>
    <w:rsid w:val="009507AA"/>
    <w:rsid w:val="0095258C"/>
    <w:rsid w:val="00955E11"/>
    <w:rsid w:val="00956254"/>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08A6"/>
    <w:rsid w:val="009C1B90"/>
    <w:rsid w:val="009C2318"/>
    <w:rsid w:val="009C2C99"/>
    <w:rsid w:val="009C65B6"/>
    <w:rsid w:val="009C67E6"/>
    <w:rsid w:val="009C76DA"/>
    <w:rsid w:val="009D595E"/>
    <w:rsid w:val="009D5A39"/>
    <w:rsid w:val="009E3A63"/>
    <w:rsid w:val="009E473A"/>
    <w:rsid w:val="009E5E22"/>
    <w:rsid w:val="009F1BCA"/>
    <w:rsid w:val="009F1E40"/>
    <w:rsid w:val="009F4667"/>
    <w:rsid w:val="009F5C8A"/>
    <w:rsid w:val="00A11FF4"/>
    <w:rsid w:val="00A12150"/>
    <w:rsid w:val="00A12F2D"/>
    <w:rsid w:val="00A171BD"/>
    <w:rsid w:val="00A17DAF"/>
    <w:rsid w:val="00A31844"/>
    <w:rsid w:val="00A31EE8"/>
    <w:rsid w:val="00A342D1"/>
    <w:rsid w:val="00A35059"/>
    <w:rsid w:val="00A44F2E"/>
    <w:rsid w:val="00A4732D"/>
    <w:rsid w:val="00A535A8"/>
    <w:rsid w:val="00A54FB5"/>
    <w:rsid w:val="00A61518"/>
    <w:rsid w:val="00A634ED"/>
    <w:rsid w:val="00A67A16"/>
    <w:rsid w:val="00A7739D"/>
    <w:rsid w:val="00A8157E"/>
    <w:rsid w:val="00A849C7"/>
    <w:rsid w:val="00A863AE"/>
    <w:rsid w:val="00A8707E"/>
    <w:rsid w:val="00A906AA"/>
    <w:rsid w:val="00A90AE1"/>
    <w:rsid w:val="00A91859"/>
    <w:rsid w:val="00A934A2"/>
    <w:rsid w:val="00AA5C4C"/>
    <w:rsid w:val="00AB2B04"/>
    <w:rsid w:val="00AB3308"/>
    <w:rsid w:val="00AB6EDF"/>
    <w:rsid w:val="00AB7EEA"/>
    <w:rsid w:val="00AC51C2"/>
    <w:rsid w:val="00AC5247"/>
    <w:rsid w:val="00AD2B3D"/>
    <w:rsid w:val="00AD560F"/>
    <w:rsid w:val="00AD6B52"/>
    <w:rsid w:val="00AE6368"/>
    <w:rsid w:val="00AF60DB"/>
    <w:rsid w:val="00AF69C5"/>
    <w:rsid w:val="00B000CE"/>
    <w:rsid w:val="00B0389C"/>
    <w:rsid w:val="00B03BD5"/>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14FC"/>
    <w:rsid w:val="00B845D4"/>
    <w:rsid w:val="00B857AE"/>
    <w:rsid w:val="00B86632"/>
    <w:rsid w:val="00B86D2C"/>
    <w:rsid w:val="00B8731A"/>
    <w:rsid w:val="00B874A2"/>
    <w:rsid w:val="00B92EAF"/>
    <w:rsid w:val="00B93BA5"/>
    <w:rsid w:val="00B94688"/>
    <w:rsid w:val="00B95301"/>
    <w:rsid w:val="00B96ED0"/>
    <w:rsid w:val="00B96FE3"/>
    <w:rsid w:val="00BA1458"/>
    <w:rsid w:val="00BA1CB0"/>
    <w:rsid w:val="00BA3443"/>
    <w:rsid w:val="00BA5EC5"/>
    <w:rsid w:val="00BA651B"/>
    <w:rsid w:val="00BB3BA7"/>
    <w:rsid w:val="00BD26D1"/>
    <w:rsid w:val="00BD4A92"/>
    <w:rsid w:val="00BE2E00"/>
    <w:rsid w:val="00BE6A4C"/>
    <w:rsid w:val="00BF474F"/>
    <w:rsid w:val="00C0537F"/>
    <w:rsid w:val="00C07938"/>
    <w:rsid w:val="00C1056E"/>
    <w:rsid w:val="00C1254F"/>
    <w:rsid w:val="00C178C8"/>
    <w:rsid w:val="00C250F4"/>
    <w:rsid w:val="00C25E9F"/>
    <w:rsid w:val="00C36317"/>
    <w:rsid w:val="00C37A2F"/>
    <w:rsid w:val="00C42100"/>
    <w:rsid w:val="00C473C9"/>
    <w:rsid w:val="00C51840"/>
    <w:rsid w:val="00C64E8B"/>
    <w:rsid w:val="00C67E97"/>
    <w:rsid w:val="00C72947"/>
    <w:rsid w:val="00C80E04"/>
    <w:rsid w:val="00C829BC"/>
    <w:rsid w:val="00C83D12"/>
    <w:rsid w:val="00C87AB3"/>
    <w:rsid w:val="00C958C5"/>
    <w:rsid w:val="00C9595F"/>
    <w:rsid w:val="00C96211"/>
    <w:rsid w:val="00C96F92"/>
    <w:rsid w:val="00CA0D75"/>
    <w:rsid w:val="00CA4602"/>
    <w:rsid w:val="00CA5BBA"/>
    <w:rsid w:val="00CB3F57"/>
    <w:rsid w:val="00CB4A50"/>
    <w:rsid w:val="00CB4D4E"/>
    <w:rsid w:val="00CC137C"/>
    <w:rsid w:val="00CC2CB0"/>
    <w:rsid w:val="00CC5773"/>
    <w:rsid w:val="00CD19EC"/>
    <w:rsid w:val="00CD3B59"/>
    <w:rsid w:val="00CD6592"/>
    <w:rsid w:val="00CD7B60"/>
    <w:rsid w:val="00CE2C7F"/>
    <w:rsid w:val="00CE3C20"/>
    <w:rsid w:val="00CE7395"/>
    <w:rsid w:val="00CF0B0F"/>
    <w:rsid w:val="00CF2C1D"/>
    <w:rsid w:val="00CF6D06"/>
    <w:rsid w:val="00D00E35"/>
    <w:rsid w:val="00D03022"/>
    <w:rsid w:val="00D03C82"/>
    <w:rsid w:val="00D07129"/>
    <w:rsid w:val="00D108AC"/>
    <w:rsid w:val="00D10AA2"/>
    <w:rsid w:val="00D1421C"/>
    <w:rsid w:val="00D14B85"/>
    <w:rsid w:val="00D22DCD"/>
    <w:rsid w:val="00D257E3"/>
    <w:rsid w:val="00D26CA7"/>
    <w:rsid w:val="00D300FD"/>
    <w:rsid w:val="00D30882"/>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87DE2"/>
    <w:rsid w:val="00D91685"/>
    <w:rsid w:val="00D95D48"/>
    <w:rsid w:val="00D97483"/>
    <w:rsid w:val="00DA2F1F"/>
    <w:rsid w:val="00DA4058"/>
    <w:rsid w:val="00DA4873"/>
    <w:rsid w:val="00DA57D6"/>
    <w:rsid w:val="00DB0399"/>
    <w:rsid w:val="00DB261F"/>
    <w:rsid w:val="00DB7A3D"/>
    <w:rsid w:val="00DB7F62"/>
    <w:rsid w:val="00DC3A6C"/>
    <w:rsid w:val="00DC3B55"/>
    <w:rsid w:val="00DC3BD0"/>
    <w:rsid w:val="00DC5B83"/>
    <w:rsid w:val="00DC7155"/>
    <w:rsid w:val="00DD3A4E"/>
    <w:rsid w:val="00DD7016"/>
    <w:rsid w:val="00DE14B9"/>
    <w:rsid w:val="00DE150B"/>
    <w:rsid w:val="00DE2A02"/>
    <w:rsid w:val="00DE7E7A"/>
    <w:rsid w:val="00DF42D0"/>
    <w:rsid w:val="00DF642F"/>
    <w:rsid w:val="00E018BE"/>
    <w:rsid w:val="00E0599D"/>
    <w:rsid w:val="00E06101"/>
    <w:rsid w:val="00E06489"/>
    <w:rsid w:val="00E077EE"/>
    <w:rsid w:val="00E12255"/>
    <w:rsid w:val="00E22711"/>
    <w:rsid w:val="00E2429A"/>
    <w:rsid w:val="00E27999"/>
    <w:rsid w:val="00E27A16"/>
    <w:rsid w:val="00E30759"/>
    <w:rsid w:val="00E36DD7"/>
    <w:rsid w:val="00E403CC"/>
    <w:rsid w:val="00E529F9"/>
    <w:rsid w:val="00E5322D"/>
    <w:rsid w:val="00E55D4E"/>
    <w:rsid w:val="00E56CE9"/>
    <w:rsid w:val="00E6142F"/>
    <w:rsid w:val="00E61991"/>
    <w:rsid w:val="00E6293B"/>
    <w:rsid w:val="00E647A7"/>
    <w:rsid w:val="00E660F8"/>
    <w:rsid w:val="00E6752E"/>
    <w:rsid w:val="00E743D2"/>
    <w:rsid w:val="00E74AE5"/>
    <w:rsid w:val="00E8535F"/>
    <w:rsid w:val="00E901A5"/>
    <w:rsid w:val="00E91D8A"/>
    <w:rsid w:val="00E94B78"/>
    <w:rsid w:val="00E953EE"/>
    <w:rsid w:val="00EA0E59"/>
    <w:rsid w:val="00EA28D0"/>
    <w:rsid w:val="00EA35C2"/>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0907"/>
    <w:rsid w:val="00EE2731"/>
    <w:rsid w:val="00EE3921"/>
    <w:rsid w:val="00EE3DF8"/>
    <w:rsid w:val="00EE4AB0"/>
    <w:rsid w:val="00EE5596"/>
    <w:rsid w:val="00EE5C79"/>
    <w:rsid w:val="00EF68A2"/>
    <w:rsid w:val="00F014BE"/>
    <w:rsid w:val="00F0237C"/>
    <w:rsid w:val="00F0567D"/>
    <w:rsid w:val="00F074A1"/>
    <w:rsid w:val="00F14FAA"/>
    <w:rsid w:val="00F23EC1"/>
    <w:rsid w:val="00F2409C"/>
    <w:rsid w:val="00F24F75"/>
    <w:rsid w:val="00F30BF4"/>
    <w:rsid w:val="00F33CF0"/>
    <w:rsid w:val="00F34575"/>
    <w:rsid w:val="00F356A3"/>
    <w:rsid w:val="00F425CD"/>
    <w:rsid w:val="00F43876"/>
    <w:rsid w:val="00F453DD"/>
    <w:rsid w:val="00F46861"/>
    <w:rsid w:val="00F4736C"/>
    <w:rsid w:val="00F47E6C"/>
    <w:rsid w:val="00F53780"/>
    <w:rsid w:val="00F55095"/>
    <w:rsid w:val="00F56512"/>
    <w:rsid w:val="00F57BB5"/>
    <w:rsid w:val="00F618B0"/>
    <w:rsid w:val="00F62304"/>
    <w:rsid w:val="00F6729F"/>
    <w:rsid w:val="00F70FC6"/>
    <w:rsid w:val="00F71DBA"/>
    <w:rsid w:val="00F72366"/>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2B42"/>
    <w:rsid w:val="00FD4F52"/>
    <w:rsid w:val="00FD506B"/>
    <w:rsid w:val="00FD57F4"/>
    <w:rsid w:val="00FD5D5C"/>
    <w:rsid w:val="00FE4043"/>
    <w:rsid w:val="00FF0EA1"/>
    <w:rsid w:val="00FF10D7"/>
    <w:rsid w:val="00FF4CD2"/>
    <w:rsid w:val="3F05E8CA"/>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A535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 w:type="character" w:customStyle="1" w:styleId="berschrift3Zchn">
    <w:name w:val="Überschrift 3 Zchn"/>
    <w:basedOn w:val="Absatz-Standardschriftart"/>
    <w:link w:val="berschrift3"/>
    <w:uiPriority w:val="9"/>
    <w:semiHidden/>
    <w:rsid w:val="00A535A8"/>
    <w:rPr>
      <w:rFonts w:asciiTheme="majorHAnsi" w:eastAsiaTheme="majorEastAsia" w:hAnsiTheme="majorHAnsi" w:cstheme="majorBidi"/>
      <w:color w:val="243F60" w:themeColor="accent1" w:themeShade="7F"/>
      <w:kern w:val="1"/>
      <w:sz w:val="24"/>
      <w:szCs w:val="24"/>
      <w:lang w:val="en-US" w:eastAsia="ar-SA"/>
    </w:rPr>
  </w:style>
  <w:style w:type="character" w:customStyle="1" w:styleId="whitespace-normal">
    <w:name w:val="whitespace-normal"/>
    <w:basedOn w:val="Absatz-Standardschriftart"/>
    <w:rsid w:val="00A535A8"/>
  </w:style>
  <w:style w:type="paragraph" w:styleId="z-Formularbeginn">
    <w:name w:val="HTML Top of Form"/>
    <w:basedOn w:val="Standard"/>
    <w:next w:val="Standard"/>
    <w:link w:val="z-FormularbeginnZchn"/>
    <w:hidden/>
    <w:uiPriority w:val="99"/>
    <w:semiHidden/>
    <w:unhideWhenUsed/>
    <w:rsid w:val="00A535A8"/>
    <w:pPr>
      <w:pBdr>
        <w:bottom w:val="single" w:sz="6" w:space="1" w:color="auto"/>
      </w:pBdr>
      <w:suppressAutoHyphens w:val="0"/>
      <w:spacing w:line="240" w:lineRule="auto"/>
      <w:jc w:val="center"/>
    </w:pPr>
    <w:rPr>
      <w:vanish/>
      <w:kern w:val="0"/>
      <w:sz w:val="16"/>
      <w:szCs w:val="16"/>
      <w:lang w:val="de-DE" w:eastAsia="de-DE"/>
    </w:rPr>
  </w:style>
  <w:style w:type="character" w:customStyle="1" w:styleId="z-FormularbeginnZchn">
    <w:name w:val="z-Formularbeginn Zchn"/>
    <w:basedOn w:val="Absatz-Standardschriftart"/>
    <w:link w:val="z-Formularbeginn"/>
    <w:uiPriority w:val="99"/>
    <w:semiHidden/>
    <w:rsid w:val="00A535A8"/>
    <w:rPr>
      <w:rFonts w:ascii="Arial" w:eastAsia="Times New Roman" w:hAnsi="Arial" w:cs="Arial"/>
      <w:vanish/>
      <w:sz w:val="16"/>
      <w:szCs w:val="16"/>
      <w:lang w:eastAsia="de-DE"/>
    </w:rPr>
  </w:style>
  <w:style w:type="paragraph" w:customStyle="1" w:styleId="placeholder">
    <w:name w:val="placeholder"/>
    <w:basedOn w:val="Standard"/>
    <w:rsid w:val="00A535A8"/>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paragraph" w:styleId="z-Formularende">
    <w:name w:val="HTML Bottom of Form"/>
    <w:basedOn w:val="Standard"/>
    <w:next w:val="Standard"/>
    <w:link w:val="z-FormularendeZchn"/>
    <w:hidden/>
    <w:uiPriority w:val="99"/>
    <w:semiHidden/>
    <w:unhideWhenUsed/>
    <w:rsid w:val="00A535A8"/>
    <w:pPr>
      <w:pBdr>
        <w:top w:val="single" w:sz="6" w:space="1" w:color="auto"/>
      </w:pBdr>
      <w:suppressAutoHyphens w:val="0"/>
      <w:spacing w:line="240" w:lineRule="auto"/>
      <w:jc w:val="center"/>
    </w:pPr>
    <w:rPr>
      <w:vanish/>
      <w:kern w:val="0"/>
      <w:sz w:val="16"/>
      <w:szCs w:val="16"/>
      <w:lang w:val="de-DE" w:eastAsia="de-DE"/>
    </w:rPr>
  </w:style>
  <w:style w:type="character" w:customStyle="1" w:styleId="z-FormularendeZchn">
    <w:name w:val="z-Formularende Zchn"/>
    <w:basedOn w:val="Absatz-Standardschriftart"/>
    <w:link w:val="z-Formularende"/>
    <w:uiPriority w:val="99"/>
    <w:semiHidden/>
    <w:rsid w:val="00A535A8"/>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944">
      <w:bodyDiv w:val="1"/>
      <w:marLeft w:val="0"/>
      <w:marRight w:val="0"/>
      <w:marTop w:val="0"/>
      <w:marBottom w:val="0"/>
      <w:divBdr>
        <w:top w:val="none" w:sz="0" w:space="0" w:color="auto"/>
        <w:left w:val="none" w:sz="0" w:space="0" w:color="auto"/>
        <w:bottom w:val="none" w:sz="0" w:space="0" w:color="auto"/>
        <w:right w:val="none" w:sz="0" w:space="0" w:color="auto"/>
      </w:divBdr>
      <w:divsChild>
        <w:div w:id="405028752">
          <w:marLeft w:val="0"/>
          <w:marRight w:val="0"/>
          <w:marTop w:val="0"/>
          <w:marBottom w:val="0"/>
          <w:divBdr>
            <w:top w:val="none" w:sz="0" w:space="0" w:color="auto"/>
            <w:left w:val="none" w:sz="0" w:space="0" w:color="auto"/>
            <w:bottom w:val="none" w:sz="0" w:space="0" w:color="auto"/>
            <w:right w:val="none" w:sz="0" w:space="0" w:color="auto"/>
          </w:divBdr>
        </w:div>
        <w:div w:id="532235522">
          <w:marLeft w:val="0"/>
          <w:marRight w:val="0"/>
          <w:marTop w:val="0"/>
          <w:marBottom w:val="0"/>
          <w:divBdr>
            <w:top w:val="none" w:sz="0" w:space="0" w:color="auto"/>
            <w:left w:val="none" w:sz="0" w:space="0" w:color="auto"/>
            <w:bottom w:val="none" w:sz="0" w:space="0" w:color="auto"/>
            <w:right w:val="none" w:sz="0" w:space="0" w:color="auto"/>
          </w:divBdr>
        </w:div>
        <w:div w:id="2042702501">
          <w:marLeft w:val="0"/>
          <w:marRight w:val="0"/>
          <w:marTop w:val="0"/>
          <w:marBottom w:val="0"/>
          <w:divBdr>
            <w:top w:val="none" w:sz="0" w:space="0" w:color="auto"/>
            <w:left w:val="none" w:sz="0" w:space="0" w:color="auto"/>
            <w:bottom w:val="none" w:sz="0" w:space="0" w:color="auto"/>
            <w:right w:val="none" w:sz="0" w:space="0" w:color="auto"/>
          </w:divBdr>
        </w:div>
        <w:div w:id="480854122">
          <w:marLeft w:val="0"/>
          <w:marRight w:val="0"/>
          <w:marTop w:val="0"/>
          <w:marBottom w:val="0"/>
          <w:divBdr>
            <w:top w:val="none" w:sz="0" w:space="0" w:color="auto"/>
            <w:left w:val="none" w:sz="0" w:space="0" w:color="auto"/>
            <w:bottom w:val="none" w:sz="0" w:space="0" w:color="auto"/>
            <w:right w:val="none" w:sz="0" w:space="0" w:color="auto"/>
          </w:divBdr>
        </w:div>
        <w:div w:id="1184245336">
          <w:marLeft w:val="0"/>
          <w:marRight w:val="0"/>
          <w:marTop w:val="0"/>
          <w:marBottom w:val="0"/>
          <w:divBdr>
            <w:top w:val="none" w:sz="0" w:space="0" w:color="auto"/>
            <w:left w:val="none" w:sz="0" w:space="0" w:color="auto"/>
            <w:bottom w:val="none" w:sz="0" w:space="0" w:color="auto"/>
            <w:right w:val="none" w:sz="0" w:space="0" w:color="auto"/>
          </w:divBdr>
        </w:div>
        <w:div w:id="273052071">
          <w:marLeft w:val="0"/>
          <w:marRight w:val="0"/>
          <w:marTop w:val="0"/>
          <w:marBottom w:val="0"/>
          <w:divBdr>
            <w:top w:val="none" w:sz="0" w:space="0" w:color="auto"/>
            <w:left w:val="none" w:sz="0" w:space="0" w:color="auto"/>
            <w:bottom w:val="none" w:sz="0" w:space="0" w:color="auto"/>
            <w:right w:val="none" w:sz="0" w:space="0" w:color="auto"/>
          </w:divBdr>
        </w:div>
        <w:div w:id="754014286">
          <w:marLeft w:val="0"/>
          <w:marRight w:val="0"/>
          <w:marTop w:val="0"/>
          <w:marBottom w:val="0"/>
          <w:divBdr>
            <w:top w:val="none" w:sz="0" w:space="0" w:color="auto"/>
            <w:left w:val="none" w:sz="0" w:space="0" w:color="auto"/>
            <w:bottom w:val="none" w:sz="0" w:space="0" w:color="auto"/>
            <w:right w:val="none" w:sz="0" w:space="0" w:color="auto"/>
          </w:divBdr>
        </w:div>
        <w:div w:id="1345935806">
          <w:marLeft w:val="0"/>
          <w:marRight w:val="0"/>
          <w:marTop w:val="0"/>
          <w:marBottom w:val="0"/>
          <w:divBdr>
            <w:top w:val="none" w:sz="0" w:space="0" w:color="auto"/>
            <w:left w:val="none" w:sz="0" w:space="0" w:color="auto"/>
            <w:bottom w:val="none" w:sz="0" w:space="0" w:color="auto"/>
            <w:right w:val="none" w:sz="0" w:space="0" w:color="auto"/>
          </w:divBdr>
        </w:div>
        <w:div w:id="2083478946">
          <w:marLeft w:val="0"/>
          <w:marRight w:val="0"/>
          <w:marTop w:val="0"/>
          <w:marBottom w:val="0"/>
          <w:divBdr>
            <w:top w:val="none" w:sz="0" w:space="0" w:color="auto"/>
            <w:left w:val="none" w:sz="0" w:space="0" w:color="auto"/>
            <w:bottom w:val="none" w:sz="0" w:space="0" w:color="auto"/>
            <w:right w:val="none" w:sz="0" w:space="0" w:color="auto"/>
          </w:divBdr>
        </w:div>
        <w:div w:id="694885835">
          <w:marLeft w:val="0"/>
          <w:marRight w:val="0"/>
          <w:marTop w:val="0"/>
          <w:marBottom w:val="0"/>
          <w:divBdr>
            <w:top w:val="none" w:sz="0" w:space="0" w:color="auto"/>
            <w:left w:val="none" w:sz="0" w:space="0" w:color="auto"/>
            <w:bottom w:val="none" w:sz="0" w:space="0" w:color="auto"/>
            <w:right w:val="none" w:sz="0" w:space="0" w:color="auto"/>
          </w:divBdr>
        </w:div>
        <w:div w:id="298536173">
          <w:marLeft w:val="0"/>
          <w:marRight w:val="0"/>
          <w:marTop w:val="0"/>
          <w:marBottom w:val="0"/>
          <w:divBdr>
            <w:top w:val="none" w:sz="0" w:space="0" w:color="auto"/>
            <w:left w:val="none" w:sz="0" w:space="0" w:color="auto"/>
            <w:bottom w:val="none" w:sz="0" w:space="0" w:color="auto"/>
            <w:right w:val="none" w:sz="0" w:space="0" w:color="auto"/>
          </w:divBdr>
        </w:div>
        <w:div w:id="830634509">
          <w:marLeft w:val="0"/>
          <w:marRight w:val="0"/>
          <w:marTop w:val="0"/>
          <w:marBottom w:val="0"/>
          <w:divBdr>
            <w:top w:val="none" w:sz="0" w:space="0" w:color="auto"/>
            <w:left w:val="none" w:sz="0" w:space="0" w:color="auto"/>
            <w:bottom w:val="none" w:sz="0" w:space="0" w:color="auto"/>
            <w:right w:val="none" w:sz="0" w:space="0" w:color="auto"/>
          </w:divBdr>
        </w:div>
        <w:div w:id="1828589863">
          <w:marLeft w:val="0"/>
          <w:marRight w:val="0"/>
          <w:marTop w:val="0"/>
          <w:marBottom w:val="0"/>
          <w:divBdr>
            <w:top w:val="none" w:sz="0" w:space="0" w:color="auto"/>
            <w:left w:val="none" w:sz="0" w:space="0" w:color="auto"/>
            <w:bottom w:val="none" w:sz="0" w:space="0" w:color="auto"/>
            <w:right w:val="none" w:sz="0" w:space="0" w:color="auto"/>
          </w:divBdr>
        </w:div>
        <w:div w:id="355928420">
          <w:marLeft w:val="0"/>
          <w:marRight w:val="0"/>
          <w:marTop w:val="0"/>
          <w:marBottom w:val="0"/>
          <w:divBdr>
            <w:top w:val="none" w:sz="0" w:space="0" w:color="auto"/>
            <w:left w:val="none" w:sz="0" w:space="0" w:color="auto"/>
            <w:bottom w:val="none" w:sz="0" w:space="0" w:color="auto"/>
            <w:right w:val="none" w:sz="0" w:space="0" w:color="auto"/>
          </w:divBdr>
        </w:div>
        <w:div w:id="1421557898">
          <w:marLeft w:val="0"/>
          <w:marRight w:val="0"/>
          <w:marTop w:val="0"/>
          <w:marBottom w:val="0"/>
          <w:divBdr>
            <w:top w:val="none" w:sz="0" w:space="0" w:color="auto"/>
            <w:left w:val="none" w:sz="0" w:space="0" w:color="auto"/>
            <w:bottom w:val="none" w:sz="0" w:space="0" w:color="auto"/>
            <w:right w:val="none" w:sz="0" w:space="0" w:color="auto"/>
          </w:divBdr>
        </w:div>
        <w:div w:id="393434448">
          <w:marLeft w:val="0"/>
          <w:marRight w:val="0"/>
          <w:marTop w:val="0"/>
          <w:marBottom w:val="0"/>
          <w:divBdr>
            <w:top w:val="none" w:sz="0" w:space="0" w:color="auto"/>
            <w:left w:val="none" w:sz="0" w:space="0" w:color="auto"/>
            <w:bottom w:val="none" w:sz="0" w:space="0" w:color="auto"/>
            <w:right w:val="none" w:sz="0" w:space="0" w:color="auto"/>
          </w:divBdr>
        </w:div>
        <w:div w:id="1987782552">
          <w:marLeft w:val="0"/>
          <w:marRight w:val="0"/>
          <w:marTop w:val="0"/>
          <w:marBottom w:val="0"/>
          <w:divBdr>
            <w:top w:val="none" w:sz="0" w:space="0" w:color="auto"/>
            <w:left w:val="none" w:sz="0" w:space="0" w:color="auto"/>
            <w:bottom w:val="none" w:sz="0" w:space="0" w:color="auto"/>
            <w:right w:val="none" w:sz="0" w:space="0" w:color="auto"/>
          </w:divBdr>
        </w:div>
        <w:div w:id="261647064">
          <w:marLeft w:val="0"/>
          <w:marRight w:val="0"/>
          <w:marTop w:val="0"/>
          <w:marBottom w:val="0"/>
          <w:divBdr>
            <w:top w:val="none" w:sz="0" w:space="0" w:color="auto"/>
            <w:left w:val="none" w:sz="0" w:space="0" w:color="auto"/>
            <w:bottom w:val="none" w:sz="0" w:space="0" w:color="auto"/>
            <w:right w:val="none" w:sz="0" w:space="0" w:color="auto"/>
          </w:divBdr>
        </w:div>
      </w:divsChild>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645622986">
      <w:bodyDiv w:val="1"/>
      <w:marLeft w:val="0"/>
      <w:marRight w:val="0"/>
      <w:marTop w:val="0"/>
      <w:marBottom w:val="0"/>
      <w:divBdr>
        <w:top w:val="none" w:sz="0" w:space="0" w:color="auto"/>
        <w:left w:val="none" w:sz="0" w:space="0" w:color="auto"/>
        <w:bottom w:val="none" w:sz="0" w:space="0" w:color="auto"/>
        <w:right w:val="none" w:sz="0" w:space="0" w:color="auto"/>
      </w:divBdr>
      <w:divsChild>
        <w:div w:id="1243174204">
          <w:marLeft w:val="0"/>
          <w:marRight w:val="0"/>
          <w:marTop w:val="0"/>
          <w:marBottom w:val="0"/>
          <w:divBdr>
            <w:top w:val="none" w:sz="0" w:space="0" w:color="auto"/>
            <w:left w:val="none" w:sz="0" w:space="0" w:color="auto"/>
            <w:bottom w:val="none" w:sz="0" w:space="0" w:color="auto"/>
            <w:right w:val="none" w:sz="0" w:space="0" w:color="auto"/>
          </w:divBdr>
        </w:div>
        <w:div w:id="208881449">
          <w:marLeft w:val="0"/>
          <w:marRight w:val="0"/>
          <w:marTop w:val="0"/>
          <w:marBottom w:val="0"/>
          <w:divBdr>
            <w:top w:val="none" w:sz="0" w:space="0" w:color="auto"/>
            <w:left w:val="none" w:sz="0" w:space="0" w:color="auto"/>
            <w:bottom w:val="none" w:sz="0" w:space="0" w:color="auto"/>
            <w:right w:val="none" w:sz="0" w:space="0" w:color="auto"/>
          </w:divBdr>
        </w:div>
        <w:div w:id="269507944">
          <w:marLeft w:val="0"/>
          <w:marRight w:val="0"/>
          <w:marTop w:val="0"/>
          <w:marBottom w:val="0"/>
          <w:divBdr>
            <w:top w:val="none" w:sz="0" w:space="0" w:color="auto"/>
            <w:left w:val="none" w:sz="0" w:space="0" w:color="auto"/>
            <w:bottom w:val="none" w:sz="0" w:space="0" w:color="auto"/>
            <w:right w:val="none" w:sz="0" w:space="0" w:color="auto"/>
          </w:divBdr>
        </w:div>
        <w:div w:id="134414797">
          <w:marLeft w:val="0"/>
          <w:marRight w:val="0"/>
          <w:marTop w:val="0"/>
          <w:marBottom w:val="0"/>
          <w:divBdr>
            <w:top w:val="none" w:sz="0" w:space="0" w:color="auto"/>
            <w:left w:val="none" w:sz="0" w:space="0" w:color="auto"/>
            <w:bottom w:val="none" w:sz="0" w:space="0" w:color="auto"/>
            <w:right w:val="none" w:sz="0" w:space="0" w:color="auto"/>
          </w:divBdr>
        </w:div>
        <w:div w:id="717706924">
          <w:marLeft w:val="0"/>
          <w:marRight w:val="0"/>
          <w:marTop w:val="0"/>
          <w:marBottom w:val="0"/>
          <w:divBdr>
            <w:top w:val="none" w:sz="0" w:space="0" w:color="auto"/>
            <w:left w:val="none" w:sz="0" w:space="0" w:color="auto"/>
            <w:bottom w:val="none" w:sz="0" w:space="0" w:color="auto"/>
            <w:right w:val="none" w:sz="0" w:space="0" w:color="auto"/>
          </w:divBdr>
        </w:div>
        <w:div w:id="952176386">
          <w:marLeft w:val="0"/>
          <w:marRight w:val="0"/>
          <w:marTop w:val="0"/>
          <w:marBottom w:val="0"/>
          <w:divBdr>
            <w:top w:val="none" w:sz="0" w:space="0" w:color="auto"/>
            <w:left w:val="none" w:sz="0" w:space="0" w:color="auto"/>
            <w:bottom w:val="none" w:sz="0" w:space="0" w:color="auto"/>
            <w:right w:val="none" w:sz="0" w:space="0" w:color="auto"/>
          </w:divBdr>
        </w:div>
        <w:div w:id="1319962075">
          <w:marLeft w:val="0"/>
          <w:marRight w:val="0"/>
          <w:marTop w:val="0"/>
          <w:marBottom w:val="0"/>
          <w:divBdr>
            <w:top w:val="none" w:sz="0" w:space="0" w:color="auto"/>
            <w:left w:val="none" w:sz="0" w:space="0" w:color="auto"/>
            <w:bottom w:val="none" w:sz="0" w:space="0" w:color="auto"/>
            <w:right w:val="none" w:sz="0" w:space="0" w:color="auto"/>
          </w:divBdr>
        </w:div>
        <w:div w:id="1000546879">
          <w:marLeft w:val="0"/>
          <w:marRight w:val="0"/>
          <w:marTop w:val="0"/>
          <w:marBottom w:val="0"/>
          <w:divBdr>
            <w:top w:val="none" w:sz="0" w:space="0" w:color="auto"/>
            <w:left w:val="none" w:sz="0" w:space="0" w:color="auto"/>
            <w:bottom w:val="none" w:sz="0" w:space="0" w:color="auto"/>
            <w:right w:val="none" w:sz="0" w:space="0" w:color="auto"/>
          </w:divBdr>
        </w:div>
        <w:div w:id="1746688223">
          <w:marLeft w:val="0"/>
          <w:marRight w:val="0"/>
          <w:marTop w:val="0"/>
          <w:marBottom w:val="0"/>
          <w:divBdr>
            <w:top w:val="none" w:sz="0" w:space="0" w:color="auto"/>
            <w:left w:val="none" w:sz="0" w:space="0" w:color="auto"/>
            <w:bottom w:val="none" w:sz="0" w:space="0" w:color="auto"/>
            <w:right w:val="none" w:sz="0" w:space="0" w:color="auto"/>
          </w:divBdr>
        </w:div>
        <w:div w:id="235164531">
          <w:marLeft w:val="0"/>
          <w:marRight w:val="0"/>
          <w:marTop w:val="0"/>
          <w:marBottom w:val="0"/>
          <w:divBdr>
            <w:top w:val="none" w:sz="0" w:space="0" w:color="auto"/>
            <w:left w:val="none" w:sz="0" w:space="0" w:color="auto"/>
            <w:bottom w:val="none" w:sz="0" w:space="0" w:color="auto"/>
            <w:right w:val="none" w:sz="0" w:space="0" w:color="auto"/>
          </w:divBdr>
        </w:div>
        <w:div w:id="282394819">
          <w:marLeft w:val="0"/>
          <w:marRight w:val="0"/>
          <w:marTop w:val="0"/>
          <w:marBottom w:val="0"/>
          <w:divBdr>
            <w:top w:val="none" w:sz="0" w:space="0" w:color="auto"/>
            <w:left w:val="none" w:sz="0" w:space="0" w:color="auto"/>
            <w:bottom w:val="none" w:sz="0" w:space="0" w:color="auto"/>
            <w:right w:val="none" w:sz="0" w:space="0" w:color="auto"/>
          </w:divBdr>
        </w:div>
        <w:div w:id="1240793148">
          <w:marLeft w:val="0"/>
          <w:marRight w:val="0"/>
          <w:marTop w:val="0"/>
          <w:marBottom w:val="0"/>
          <w:divBdr>
            <w:top w:val="none" w:sz="0" w:space="0" w:color="auto"/>
            <w:left w:val="none" w:sz="0" w:space="0" w:color="auto"/>
            <w:bottom w:val="none" w:sz="0" w:space="0" w:color="auto"/>
            <w:right w:val="none" w:sz="0" w:space="0" w:color="auto"/>
          </w:divBdr>
        </w:div>
        <w:div w:id="234248918">
          <w:marLeft w:val="0"/>
          <w:marRight w:val="0"/>
          <w:marTop w:val="0"/>
          <w:marBottom w:val="0"/>
          <w:divBdr>
            <w:top w:val="none" w:sz="0" w:space="0" w:color="auto"/>
            <w:left w:val="none" w:sz="0" w:space="0" w:color="auto"/>
            <w:bottom w:val="none" w:sz="0" w:space="0" w:color="auto"/>
            <w:right w:val="none" w:sz="0" w:space="0" w:color="auto"/>
          </w:divBdr>
        </w:div>
        <w:div w:id="1894927681">
          <w:marLeft w:val="0"/>
          <w:marRight w:val="0"/>
          <w:marTop w:val="0"/>
          <w:marBottom w:val="0"/>
          <w:divBdr>
            <w:top w:val="none" w:sz="0" w:space="0" w:color="auto"/>
            <w:left w:val="none" w:sz="0" w:space="0" w:color="auto"/>
            <w:bottom w:val="none" w:sz="0" w:space="0" w:color="auto"/>
            <w:right w:val="none" w:sz="0" w:space="0" w:color="auto"/>
          </w:divBdr>
        </w:div>
        <w:div w:id="1702435122">
          <w:marLeft w:val="0"/>
          <w:marRight w:val="0"/>
          <w:marTop w:val="0"/>
          <w:marBottom w:val="0"/>
          <w:divBdr>
            <w:top w:val="none" w:sz="0" w:space="0" w:color="auto"/>
            <w:left w:val="none" w:sz="0" w:space="0" w:color="auto"/>
            <w:bottom w:val="none" w:sz="0" w:space="0" w:color="auto"/>
            <w:right w:val="none" w:sz="0" w:space="0" w:color="auto"/>
          </w:divBdr>
        </w:div>
        <w:div w:id="870269431">
          <w:marLeft w:val="0"/>
          <w:marRight w:val="0"/>
          <w:marTop w:val="0"/>
          <w:marBottom w:val="0"/>
          <w:divBdr>
            <w:top w:val="none" w:sz="0" w:space="0" w:color="auto"/>
            <w:left w:val="none" w:sz="0" w:space="0" w:color="auto"/>
            <w:bottom w:val="none" w:sz="0" w:space="0" w:color="auto"/>
            <w:right w:val="none" w:sz="0" w:space="0" w:color="auto"/>
          </w:divBdr>
        </w:div>
        <w:div w:id="836581226">
          <w:marLeft w:val="0"/>
          <w:marRight w:val="0"/>
          <w:marTop w:val="0"/>
          <w:marBottom w:val="0"/>
          <w:divBdr>
            <w:top w:val="none" w:sz="0" w:space="0" w:color="auto"/>
            <w:left w:val="none" w:sz="0" w:space="0" w:color="auto"/>
            <w:bottom w:val="none" w:sz="0" w:space="0" w:color="auto"/>
            <w:right w:val="none" w:sz="0" w:space="0" w:color="auto"/>
          </w:divBdr>
        </w:div>
        <w:div w:id="8266305">
          <w:marLeft w:val="0"/>
          <w:marRight w:val="0"/>
          <w:marTop w:val="0"/>
          <w:marBottom w:val="0"/>
          <w:divBdr>
            <w:top w:val="none" w:sz="0" w:space="0" w:color="auto"/>
            <w:left w:val="none" w:sz="0" w:space="0" w:color="auto"/>
            <w:bottom w:val="none" w:sz="0" w:space="0" w:color="auto"/>
            <w:right w:val="none" w:sz="0" w:space="0" w:color="auto"/>
          </w:divBdr>
        </w:div>
      </w:divsChild>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Dan.Demers@congatec.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file:///\\nas5000\Kunden\congatec\01-PR\www.congatec.u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youtube.com/congatecA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yperlink" Target="mailto:janene.rae@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eady.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ongatec.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5C0D56CE-B416-4ABF-B7D4-0FB98EC2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David Sabouret</cp:lastModifiedBy>
  <cp:revision>3</cp:revision>
  <cp:lastPrinted>2020-12-07T11:00:00Z</cp:lastPrinted>
  <dcterms:created xsi:type="dcterms:W3CDTF">2026-03-12T12:21:00Z</dcterms:created>
  <dcterms:modified xsi:type="dcterms:W3CDTF">2026-03-12T12:31:00Z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