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711C" w14:textId="77777777" w:rsidR="00D257E3" w:rsidRPr="00553E12" w:rsidRDefault="00D257E3" w:rsidP="000E18CA">
      <w:pPr>
        <w:pStyle w:val="Ttulo1"/>
        <w:rPr>
          <w:lang w:val="es-ES"/>
        </w:rPr>
      </w:pPr>
    </w:p>
    <w:p w14:paraId="758C9778" w14:textId="053B9A80" w:rsidR="00191F41" w:rsidRPr="00553E12" w:rsidRDefault="00573859" w:rsidP="00127761">
      <w:pPr>
        <w:pStyle w:val="Ttulo1"/>
        <w:spacing w:line="240" w:lineRule="auto"/>
        <w:rPr>
          <w:lang w:val="es-ES"/>
        </w:rPr>
      </w:pPr>
      <w:r w:rsidRPr="00553E12">
        <w:rPr>
          <w:noProof/>
          <w:lang w:val="es-ES"/>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553E12" w:rsidRPr="00553E12">
        <w:rPr>
          <w:lang w:val="es-ES"/>
        </w:rPr>
        <w:t>Nota de Prensa</w:t>
      </w:r>
      <w:r w:rsidR="004B35A4" w:rsidRPr="00553E12">
        <w:rPr>
          <w:lang w:val="es-ES"/>
        </w:rPr>
        <w:t xml:space="preserve"> </w:t>
      </w:r>
    </w:p>
    <w:p w14:paraId="2D9BE063" w14:textId="77777777" w:rsidR="00C958C5" w:rsidRPr="00553E12" w:rsidRDefault="00C958C5" w:rsidP="00127761">
      <w:pPr>
        <w:pStyle w:val="Ttulo1"/>
        <w:spacing w:line="240" w:lineRule="auto"/>
        <w:rPr>
          <w:lang w:val="es-ES"/>
        </w:rPr>
      </w:pPr>
    </w:p>
    <w:p w14:paraId="4FFC114D" w14:textId="77777777" w:rsidR="00C958C5" w:rsidRPr="00553E12" w:rsidRDefault="00C958C5" w:rsidP="00127761">
      <w:pPr>
        <w:pStyle w:val="Ttulo1"/>
        <w:spacing w:line="240" w:lineRule="auto"/>
        <w:rPr>
          <w:lang w:val="es-ES"/>
        </w:rPr>
      </w:pPr>
    </w:p>
    <w:p w14:paraId="1430A0ED" w14:textId="0672FDD8" w:rsidR="004B35A4" w:rsidRPr="00553E12" w:rsidRDefault="00553E12" w:rsidP="00127761">
      <w:pPr>
        <w:spacing w:line="240" w:lineRule="auto"/>
        <w:rPr>
          <w:lang w:val="es-ES"/>
        </w:rPr>
      </w:pPr>
      <w:r w:rsidRPr="00553E12">
        <w:rPr>
          <w:lang w:val="es-ES"/>
        </w:rPr>
        <w:t>Potencia más constante para las plataformas cliente COM-HPC</w:t>
      </w:r>
    </w:p>
    <w:p w14:paraId="289A516E" w14:textId="37F38BA6" w:rsidR="00991C13" w:rsidRPr="00553E12" w:rsidRDefault="00991C13" w:rsidP="00127761">
      <w:pPr>
        <w:spacing w:line="240" w:lineRule="auto"/>
        <w:rPr>
          <w:rStyle w:val="Kommentarzeichen1"/>
          <w:sz w:val="22"/>
          <w:szCs w:val="22"/>
          <w:lang w:val="es-ES"/>
        </w:rPr>
      </w:pPr>
    </w:p>
    <w:p w14:paraId="0CC9EB43" w14:textId="48705C45" w:rsidR="00D82DFF" w:rsidRPr="00553E12" w:rsidRDefault="00553E12" w:rsidP="00127761">
      <w:pPr>
        <w:spacing w:line="240" w:lineRule="auto"/>
        <w:rPr>
          <w:b/>
          <w:sz w:val="36"/>
          <w:szCs w:val="36"/>
          <w:lang w:val="es-ES"/>
        </w:rPr>
      </w:pPr>
      <w:r w:rsidRPr="00553E12">
        <w:rPr>
          <w:b/>
          <w:sz w:val="36"/>
          <w:szCs w:val="36"/>
          <w:lang w:val="es-ES"/>
        </w:rPr>
        <w:t>conga-HPC/</w:t>
      </w:r>
      <w:proofErr w:type="spellStart"/>
      <w:r w:rsidRPr="00553E12">
        <w:rPr>
          <w:b/>
          <w:sz w:val="36"/>
          <w:szCs w:val="36"/>
          <w:lang w:val="es-ES"/>
        </w:rPr>
        <w:t>cBLS</w:t>
      </w:r>
      <w:proofErr w:type="spellEnd"/>
      <w:r w:rsidRPr="00553E12">
        <w:rPr>
          <w:b/>
          <w:sz w:val="36"/>
          <w:szCs w:val="36"/>
          <w:lang w:val="es-ES"/>
        </w:rPr>
        <w:t xml:space="preserve"> acelera los diseños de vanguardia más exigentes</w:t>
      </w:r>
    </w:p>
    <w:p w14:paraId="6F043AA3" w14:textId="58ECDB00" w:rsidR="007055BE" w:rsidRPr="00553E12" w:rsidRDefault="00A535A8" w:rsidP="00127761">
      <w:pPr>
        <w:spacing w:line="240" w:lineRule="auto"/>
        <w:rPr>
          <w:rStyle w:val="Kommentarzeichen1"/>
          <w:b/>
          <w:sz w:val="22"/>
          <w:szCs w:val="22"/>
          <w:lang w:val="es-ES"/>
        </w:rPr>
      </w:pPr>
      <w:r w:rsidRPr="00553E12">
        <w:rPr>
          <w:noProof/>
          <w:lang w:val="es-ES"/>
        </w:rPr>
        <w:drawing>
          <wp:inline distT="0" distB="0" distL="0" distR="0" wp14:anchorId="119A6F96" wp14:editId="588E3B55">
            <wp:extent cx="5579745" cy="3408810"/>
            <wp:effectExtent l="0" t="0" r="1905" b="1270"/>
            <wp:docPr id="1593335538" name="image1.jpg" descr="Ein Bild, das Elektronik, Elektronisches Bauteil, Elektrisches Bauelement, passives Bauelemen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593335538" name="image1.jpg" descr="Ein Bild, das Elektronik, Elektronisches Bauteil, Elektrisches Bauelement, passives Bauelement enthält.&#10;&#10;KI-generierte Inhalte können fehlerhaft sein."/>
                    <pic:cNvPicPr preferRelativeResize="0"/>
                  </pic:nvPicPr>
                  <pic:blipFill>
                    <a:blip r:embed="rId13"/>
                    <a:srcRect/>
                    <a:stretch>
                      <a:fillRect/>
                    </a:stretch>
                  </pic:blipFill>
                  <pic:spPr>
                    <a:xfrm>
                      <a:off x="0" y="0"/>
                      <a:ext cx="5579745" cy="3408810"/>
                    </a:xfrm>
                    <a:prstGeom prst="rect">
                      <a:avLst/>
                    </a:prstGeom>
                    <a:ln/>
                  </pic:spPr>
                </pic:pic>
              </a:graphicData>
            </a:graphic>
          </wp:inline>
        </w:drawing>
      </w:r>
    </w:p>
    <w:p w14:paraId="2227B00A" w14:textId="622B14DD" w:rsidR="00CC2CB0" w:rsidRPr="00553E12" w:rsidRDefault="00CC2CB0" w:rsidP="00127761">
      <w:pPr>
        <w:spacing w:line="240" w:lineRule="auto"/>
        <w:rPr>
          <w:rStyle w:val="Kommentarzeichen1"/>
          <w:b/>
          <w:sz w:val="22"/>
          <w:szCs w:val="22"/>
          <w:lang w:val="es-ES"/>
        </w:rPr>
      </w:pPr>
    </w:p>
    <w:p w14:paraId="181D3BA2" w14:textId="77777777" w:rsidR="00553E12" w:rsidRPr="00553E12" w:rsidRDefault="00853641" w:rsidP="00553E12">
      <w:pPr>
        <w:rPr>
          <w:lang w:val="es-ES"/>
        </w:rPr>
      </w:pPr>
      <w:proofErr w:type="spellStart"/>
      <w:r w:rsidRPr="00553E12">
        <w:rPr>
          <w:b/>
          <w:lang w:val="es-ES"/>
        </w:rPr>
        <w:t>Deggendorf</w:t>
      </w:r>
      <w:proofErr w:type="spellEnd"/>
      <w:r w:rsidRPr="00553E12">
        <w:rPr>
          <w:b/>
          <w:lang w:val="es-ES"/>
        </w:rPr>
        <w:t xml:space="preserve">, </w:t>
      </w:r>
      <w:r w:rsidR="00553E12" w:rsidRPr="00553E12">
        <w:rPr>
          <w:b/>
          <w:lang w:val="es-ES"/>
        </w:rPr>
        <w:t>Alemania</w:t>
      </w:r>
      <w:r w:rsidRPr="00553E12">
        <w:rPr>
          <w:b/>
          <w:lang w:val="es-ES"/>
        </w:rPr>
        <w:t xml:space="preserve">, </w:t>
      </w:r>
      <w:r w:rsidR="00A535A8" w:rsidRPr="00553E12">
        <w:rPr>
          <w:b/>
          <w:bCs/>
          <w:lang w:val="es-ES"/>
        </w:rPr>
        <w:t>10</w:t>
      </w:r>
      <w:r w:rsidR="00553E12" w:rsidRPr="00553E12">
        <w:rPr>
          <w:b/>
          <w:bCs/>
          <w:lang w:val="es-ES"/>
        </w:rPr>
        <w:t xml:space="preserve"> de marzo de</w:t>
      </w:r>
      <w:r w:rsidR="00D77A64" w:rsidRPr="00553E12">
        <w:rPr>
          <w:b/>
          <w:bCs/>
          <w:lang w:val="es-ES"/>
        </w:rPr>
        <w:t>,</w:t>
      </w:r>
      <w:r w:rsidR="0029581C" w:rsidRPr="00553E12">
        <w:rPr>
          <w:rStyle w:val="Kommentarzeichen1"/>
          <w:b/>
          <w:bCs/>
          <w:sz w:val="22"/>
          <w:szCs w:val="22"/>
          <w:lang w:val="es-ES"/>
        </w:rPr>
        <w:t>202</w:t>
      </w:r>
      <w:r w:rsidR="0038418B" w:rsidRPr="00553E12">
        <w:rPr>
          <w:rStyle w:val="Kommentarzeichen1"/>
          <w:b/>
          <w:bCs/>
          <w:sz w:val="22"/>
          <w:szCs w:val="22"/>
          <w:lang w:val="es-ES"/>
        </w:rPr>
        <w:t>6</w:t>
      </w:r>
      <w:r w:rsidR="0029581C" w:rsidRPr="00553E12">
        <w:rPr>
          <w:rStyle w:val="Kommentarzeichen1"/>
          <w:b/>
          <w:bCs/>
          <w:sz w:val="22"/>
          <w:szCs w:val="22"/>
          <w:lang w:val="es-ES"/>
        </w:rPr>
        <w:t xml:space="preserve"> </w:t>
      </w:r>
      <w:r w:rsidR="009055B3" w:rsidRPr="00553E12">
        <w:rPr>
          <w:rStyle w:val="Kommentarzeichen1"/>
          <w:b/>
          <w:bCs/>
          <w:sz w:val="22"/>
          <w:szCs w:val="22"/>
          <w:lang w:val="es-ES"/>
        </w:rPr>
        <w:t>* * *</w:t>
      </w:r>
      <w:r w:rsidR="009055B3" w:rsidRPr="00553E12">
        <w:rPr>
          <w:rStyle w:val="Kommentarzeichen1"/>
          <w:sz w:val="22"/>
          <w:szCs w:val="22"/>
          <w:lang w:val="es-ES"/>
        </w:rPr>
        <w:t xml:space="preserve"> </w:t>
      </w:r>
      <w:proofErr w:type="spellStart"/>
      <w:r w:rsidR="000A5B71" w:rsidRPr="00553E12">
        <w:rPr>
          <w:rStyle w:val="Kommentarzeichen1"/>
          <w:sz w:val="22"/>
          <w:szCs w:val="22"/>
          <w:lang w:val="es-ES"/>
        </w:rPr>
        <w:t>congatec</w:t>
      </w:r>
      <w:proofErr w:type="spellEnd"/>
      <w:r w:rsidR="000A5B71" w:rsidRPr="00553E12">
        <w:rPr>
          <w:rStyle w:val="Kommentarzeichen1"/>
          <w:sz w:val="22"/>
          <w:szCs w:val="22"/>
          <w:lang w:val="es-ES"/>
        </w:rPr>
        <w:t xml:space="preserve"> – </w:t>
      </w:r>
      <w:proofErr w:type="spellStart"/>
      <w:r w:rsidR="00553E12" w:rsidRPr="00553E12">
        <w:rPr>
          <w:lang w:val="es-ES"/>
        </w:rPr>
        <w:t>congatec</w:t>
      </w:r>
      <w:proofErr w:type="spellEnd"/>
      <w:r w:rsidR="00553E12" w:rsidRPr="00553E12">
        <w:rPr>
          <w:lang w:val="es-ES"/>
        </w:rPr>
        <w:t xml:space="preserve">, el proveedor líder de tecnología de sistemas embebidos y de </w:t>
      </w:r>
      <w:proofErr w:type="spellStart"/>
      <w:r w:rsidR="00553E12" w:rsidRPr="00553E12">
        <w:rPr>
          <w:lang w:val="es-ES"/>
        </w:rPr>
        <w:t>edge</w:t>
      </w:r>
      <w:proofErr w:type="spellEnd"/>
      <w:r w:rsidR="00553E12" w:rsidRPr="00553E12">
        <w:rPr>
          <w:lang w:val="es-ES"/>
        </w:rPr>
        <w:t xml:space="preserve"> </w:t>
      </w:r>
      <w:proofErr w:type="spellStart"/>
      <w:r w:rsidR="00553E12" w:rsidRPr="00553E12">
        <w:rPr>
          <w:lang w:val="es-ES"/>
        </w:rPr>
        <w:t>computing</w:t>
      </w:r>
      <w:proofErr w:type="spellEnd"/>
      <w:r w:rsidR="00553E12" w:rsidRPr="00553E12">
        <w:rPr>
          <w:lang w:val="es-ES"/>
        </w:rPr>
        <w:t>, amplía el rendimiento de sus módulos COM (</w:t>
      </w:r>
      <w:proofErr w:type="spellStart"/>
      <w:r w:rsidR="00553E12" w:rsidRPr="00553E12">
        <w:rPr>
          <w:lang w:val="es-ES"/>
        </w:rPr>
        <w:t>Computer</w:t>
      </w:r>
      <w:proofErr w:type="spellEnd"/>
      <w:r w:rsidR="00553E12" w:rsidRPr="00553E12">
        <w:rPr>
          <w:lang w:val="es-ES"/>
        </w:rPr>
        <w:t>-</w:t>
      </w:r>
      <w:proofErr w:type="spellStart"/>
      <w:r w:rsidR="00553E12" w:rsidRPr="00553E12">
        <w:rPr>
          <w:lang w:val="es-ES"/>
        </w:rPr>
        <w:t>on</w:t>
      </w:r>
      <w:proofErr w:type="spellEnd"/>
      <w:r w:rsidR="00553E12" w:rsidRPr="00553E12">
        <w:rPr>
          <w:lang w:val="es-ES"/>
        </w:rPr>
        <w:t xml:space="preserve">-Modules) COM-HPC Client </w:t>
      </w:r>
      <w:proofErr w:type="spellStart"/>
      <w:r w:rsidR="00553E12" w:rsidRPr="00553E12">
        <w:rPr>
          <w:lang w:val="es-ES"/>
        </w:rPr>
        <w:t>Size</w:t>
      </w:r>
      <w:proofErr w:type="spellEnd"/>
      <w:r w:rsidR="00553E12" w:rsidRPr="00553E12">
        <w:rPr>
          <w:lang w:val="es-ES"/>
        </w:rPr>
        <w:t xml:space="preserve"> C, conga-HPC/</w:t>
      </w:r>
      <w:proofErr w:type="spellStart"/>
      <w:r w:rsidR="00553E12" w:rsidRPr="00553E12">
        <w:rPr>
          <w:lang w:val="es-ES"/>
        </w:rPr>
        <w:t>cBLS</w:t>
      </w:r>
      <w:proofErr w:type="spellEnd"/>
      <w:r w:rsidR="00553E12" w:rsidRPr="00553E12">
        <w:rPr>
          <w:lang w:val="es-ES"/>
        </w:rPr>
        <w:t xml:space="preserve">, con las nuevas variantes Intel® Core™ Series 2 (nombre en clave: Bartlett Lake-S) basadas exclusivamente en núcleos P de alto rendimiento. Con hasta 12 núcleos P idénticos, los nuevos módulos están especialmente diseñados para aplicaciones determinísticas de gama alta que necesitan procesar numerosos flujos de datos en paralelo. Admiten hasta 192 GB de RAM y proporcionan 42 canales PCIe para una conectividad de alto ancho de banda en tecnologías avanzadas de E/S o tarjetas aceleradoras de IA. Esto los hace ideales para aplicaciones de </w:t>
      </w:r>
      <w:proofErr w:type="spellStart"/>
      <w:r w:rsidR="00553E12" w:rsidRPr="00553E12">
        <w:rPr>
          <w:lang w:val="es-ES"/>
        </w:rPr>
        <w:t>edge</w:t>
      </w:r>
      <w:proofErr w:type="spellEnd"/>
      <w:r w:rsidR="00553E12" w:rsidRPr="00553E12">
        <w:rPr>
          <w:lang w:val="es-ES"/>
        </w:rPr>
        <w:t xml:space="preserve"> </w:t>
      </w:r>
      <w:proofErr w:type="spellStart"/>
      <w:r w:rsidR="00553E12" w:rsidRPr="00553E12">
        <w:rPr>
          <w:lang w:val="es-ES"/>
        </w:rPr>
        <w:t>computing</w:t>
      </w:r>
      <w:proofErr w:type="spellEnd"/>
      <w:r w:rsidR="00553E12" w:rsidRPr="00553E12">
        <w:rPr>
          <w:lang w:val="es-ES"/>
        </w:rPr>
        <w:t xml:space="preserve"> que requieren un alto rendimiento en mercados como el de equipos de prueba y medida, imágenes médicas, redes inteligentes, sistemas energéticos, robótica y automatización de procesos industriales, aplicaciones que requieren un rendimiento de clase servidor en un diseño de clase estación de trabajo.</w:t>
      </w:r>
    </w:p>
    <w:p w14:paraId="3485794A" w14:textId="77777777" w:rsidR="00553E12" w:rsidRPr="00553E12" w:rsidRDefault="00553E12" w:rsidP="00553E12">
      <w:pPr>
        <w:rPr>
          <w:lang w:val="es-ES"/>
        </w:rPr>
      </w:pPr>
    </w:p>
    <w:p w14:paraId="7F8AE001" w14:textId="77777777" w:rsidR="00553E12" w:rsidRPr="00553E12" w:rsidRDefault="00553E12" w:rsidP="00553E12">
      <w:pPr>
        <w:rPr>
          <w:b/>
          <w:bCs/>
          <w:lang w:val="es-ES"/>
        </w:rPr>
      </w:pPr>
      <w:r w:rsidRPr="00553E12">
        <w:rPr>
          <w:b/>
          <w:bCs/>
          <w:lang w:val="es-ES"/>
        </w:rPr>
        <w:t xml:space="preserve">Edge </w:t>
      </w:r>
      <w:proofErr w:type="spellStart"/>
      <w:r w:rsidRPr="00553E12">
        <w:rPr>
          <w:b/>
          <w:bCs/>
          <w:lang w:val="es-ES"/>
        </w:rPr>
        <w:t>computing</w:t>
      </w:r>
      <w:proofErr w:type="spellEnd"/>
      <w:r w:rsidRPr="00553E12">
        <w:rPr>
          <w:b/>
          <w:bCs/>
          <w:lang w:val="es-ES"/>
        </w:rPr>
        <w:t xml:space="preserve"> determinista de alta gama a hasta 5,7 GHz</w:t>
      </w:r>
    </w:p>
    <w:p w14:paraId="0DC08DC3" w14:textId="77777777" w:rsidR="00553E12" w:rsidRPr="00553E12" w:rsidRDefault="00553E12" w:rsidP="00553E12">
      <w:pPr>
        <w:rPr>
          <w:lang w:val="es-ES"/>
        </w:rPr>
      </w:pPr>
      <w:r w:rsidRPr="00553E12">
        <w:rPr>
          <w:lang w:val="es-ES"/>
        </w:rPr>
        <w:t>Los nuevos módulos proporcionan una arquitectura de CPU homogénea con un conjunto de instrucciones unificado, lo que simplifica el desarrollo de sistemas de baja latencia con un comportamiento totalmente determinista. Impulsado por procesadores LGA de alto rendimiento y rentables, el conga-HPC/</w:t>
      </w:r>
      <w:proofErr w:type="spellStart"/>
      <w:r w:rsidRPr="00553E12">
        <w:rPr>
          <w:lang w:val="es-ES"/>
        </w:rPr>
        <w:t>cBLS</w:t>
      </w:r>
      <w:proofErr w:type="spellEnd"/>
      <w:r w:rsidRPr="00553E12">
        <w:rPr>
          <w:lang w:val="es-ES"/>
        </w:rPr>
        <w:t xml:space="preserve"> ofrece la máxima capacidad de cálculo a frecuencias de CPU de hasta 5,7 GHz.</w:t>
      </w:r>
    </w:p>
    <w:p w14:paraId="2F0B2E02" w14:textId="77777777" w:rsidR="00553E12" w:rsidRPr="00553E12" w:rsidRDefault="00553E12" w:rsidP="00553E12">
      <w:pPr>
        <w:rPr>
          <w:lang w:val="es-ES"/>
        </w:rPr>
      </w:pPr>
      <w:r w:rsidRPr="00553E12">
        <w:rPr>
          <w:lang w:val="es-ES"/>
        </w:rPr>
        <w:t>Este rendimiento beneficia directamente a aplicaciones como los registradores de datos en bancos de pruebas fijos o móviles, los sistemas de control de precisión en tiempo real para robots, máquinas CNC y líneas de producción automatizadas, así como los sistemas de inspección de calidad basados en IA.</w:t>
      </w:r>
    </w:p>
    <w:p w14:paraId="5AF0D718" w14:textId="77777777" w:rsidR="00553E12" w:rsidRPr="00553E12" w:rsidRDefault="00553E12" w:rsidP="00553E12">
      <w:pPr>
        <w:rPr>
          <w:lang w:val="es-ES"/>
        </w:rPr>
      </w:pPr>
      <w:r w:rsidRPr="00553E12">
        <w:rPr>
          <w:lang w:val="es-ES"/>
        </w:rPr>
        <w:t>Además de su arquitectura modular, el conga-HPC/</w:t>
      </w:r>
      <w:proofErr w:type="spellStart"/>
      <w:r w:rsidRPr="00553E12">
        <w:rPr>
          <w:lang w:val="es-ES"/>
        </w:rPr>
        <w:t>cBLS</w:t>
      </w:r>
      <w:proofErr w:type="spellEnd"/>
      <w:r w:rsidRPr="00553E12">
        <w:rPr>
          <w:lang w:val="es-ES"/>
        </w:rPr>
        <w:t xml:space="preserve"> garantiza el futuro de las vías de actualización mediante la sustitución sencilla de módulos a través de zócalos de computación de alto rendimiento.</w:t>
      </w:r>
    </w:p>
    <w:p w14:paraId="6478A1C9" w14:textId="77777777" w:rsidR="00553E12" w:rsidRPr="00553E12" w:rsidRDefault="00553E12" w:rsidP="00553E12">
      <w:pPr>
        <w:rPr>
          <w:lang w:val="es-ES"/>
        </w:rPr>
      </w:pPr>
    </w:p>
    <w:p w14:paraId="02E395B5" w14:textId="77777777" w:rsidR="00553E12" w:rsidRPr="00553E12" w:rsidRDefault="00553E12" w:rsidP="00553E12">
      <w:pPr>
        <w:rPr>
          <w:lang w:val="es-ES"/>
        </w:rPr>
      </w:pPr>
      <w:r w:rsidRPr="00553E12">
        <w:rPr>
          <w:lang w:val="es-ES"/>
        </w:rPr>
        <w:t xml:space="preserve">«Gracias a su excelente relación rendimiento-precio, nuestros módulos COM-HPC Client </w:t>
      </w:r>
      <w:proofErr w:type="spellStart"/>
      <w:r w:rsidRPr="00553E12">
        <w:rPr>
          <w:lang w:val="es-ES"/>
        </w:rPr>
        <w:t>Size</w:t>
      </w:r>
      <w:proofErr w:type="spellEnd"/>
      <w:r w:rsidRPr="00553E12">
        <w:rPr>
          <w:lang w:val="es-ES"/>
        </w:rPr>
        <w:t xml:space="preserve"> C con procesadores en zócalo representan una alternativa atractiva a las placas base tradicionales, especialmente para diseños de sistemas con requisitos de alto rendimiento y escalabilidad que exigen ciclos de actualización tecnológica regulares», explica Jürgen </w:t>
      </w:r>
      <w:proofErr w:type="spellStart"/>
      <w:r w:rsidRPr="00553E12">
        <w:rPr>
          <w:lang w:val="es-ES"/>
        </w:rPr>
        <w:t>Jungbauer</w:t>
      </w:r>
      <w:proofErr w:type="spellEnd"/>
      <w:r w:rsidRPr="00553E12">
        <w:rPr>
          <w:lang w:val="es-ES"/>
        </w:rPr>
        <w:t xml:space="preserve">, director sénior de la línea de productos de </w:t>
      </w:r>
      <w:proofErr w:type="spellStart"/>
      <w:r w:rsidRPr="00553E12">
        <w:rPr>
          <w:lang w:val="es-ES"/>
        </w:rPr>
        <w:t>congatec</w:t>
      </w:r>
      <w:proofErr w:type="spellEnd"/>
      <w:r w:rsidRPr="00553E12">
        <w:rPr>
          <w:lang w:val="es-ES"/>
        </w:rPr>
        <w:t xml:space="preserve">. «Aprovechando los gráficos integrados con Intel Deep </w:t>
      </w:r>
      <w:proofErr w:type="spellStart"/>
      <w:r w:rsidRPr="00553E12">
        <w:rPr>
          <w:lang w:val="es-ES"/>
        </w:rPr>
        <w:t>Learning</w:t>
      </w:r>
      <w:proofErr w:type="spellEnd"/>
      <w:r w:rsidRPr="00553E12">
        <w:rPr>
          <w:lang w:val="es-ES"/>
        </w:rPr>
        <w:t xml:space="preserve"> </w:t>
      </w:r>
      <w:proofErr w:type="spellStart"/>
      <w:r w:rsidRPr="00553E12">
        <w:rPr>
          <w:lang w:val="es-ES"/>
        </w:rPr>
        <w:t>Boost</w:t>
      </w:r>
      <w:proofErr w:type="spellEnd"/>
      <w:r w:rsidRPr="00553E12">
        <w:rPr>
          <w:lang w:val="es-ES"/>
        </w:rPr>
        <w:t xml:space="preserve"> como GPGPU transforma aún más el módulo en una plataforma servidor altamente eficiente y de bajo consumo para la inferencia de IA en el </w:t>
      </w:r>
      <w:proofErr w:type="spellStart"/>
      <w:r w:rsidRPr="00553E12">
        <w:rPr>
          <w:lang w:val="es-ES"/>
        </w:rPr>
        <w:t>edge</w:t>
      </w:r>
      <w:proofErr w:type="spellEnd"/>
      <w:r w:rsidRPr="00553E12">
        <w:rPr>
          <w:lang w:val="es-ES"/>
        </w:rPr>
        <w:t>».</w:t>
      </w:r>
    </w:p>
    <w:p w14:paraId="6FF2F3A1" w14:textId="77777777" w:rsidR="00553E12" w:rsidRPr="00553E12" w:rsidRDefault="00553E12" w:rsidP="00553E12">
      <w:pPr>
        <w:rPr>
          <w:lang w:val="es-ES"/>
        </w:rPr>
      </w:pPr>
    </w:p>
    <w:p w14:paraId="56794E24" w14:textId="77777777" w:rsidR="00553E12" w:rsidRPr="00553E12" w:rsidRDefault="00553E12" w:rsidP="00553E12">
      <w:pPr>
        <w:rPr>
          <w:b/>
          <w:bCs/>
          <w:lang w:val="es-ES"/>
        </w:rPr>
      </w:pPr>
      <w:r w:rsidRPr="00553E12">
        <w:rPr>
          <w:b/>
          <w:bCs/>
          <w:lang w:val="es-ES"/>
        </w:rPr>
        <w:t xml:space="preserve">Impresionante rendimiento de inferencia de IA para IA en el </w:t>
      </w:r>
      <w:proofErr w:type="spellStart"/>
      <w:r w:rsidRPr="00553E12">
        <w:rPr>
          <w:b/>
          <w:bCs/>
          <w:lang w:val="es-ES"/>
        </w:rPr>
        <w:t>edge</w:t>
      </w:r>
      <w:proofErr w:type="spellEnd"/>
    </w:p>
    <w:p w14:paraId="06B7A601" w14:textId="77777777" w:rsidR="00553E12" w:rsidRPr="00553E12" w:rsidRDefault="00553E12" w:rsidP="00553E12">
      <w:pPr>
        <w:rPr>
          <w:lang w:val="es-ES"/>
        </w:rPr>
      </w:pPr>
      <w:r w:rsidRPr="00553E12">
        <w:rPr>
          <w:lang w:val="es-ES"/>
        </w:rPr>
        <w:t xml:space="preserve">Las aplicaciones también se benefician de las potentes capacidades de aceleración de IA de los gráficos Intel UHD integrados, que cuentan con hasta 32 unidades de ejecución. Es compatible con Intel® Deep </w:t>
      </w:r>
      <w:proofErr w:type="spellStart"/>
      <w:r w:rsidRPr="00553E12">
        <w:rPr>
          <w:lang w:val="es-ES"/>
        </w:rPr>
        <w:t>Learning</w:t>
      </w:r>
      <w:proofErr w:type="spellEnd"/>
      <w:r w:rsidRPr="00553E12">
        <w:rPr>
          <w:lang w:val="es-ES"/>
        </w:rPr>
        <w:t xml:space="preserve"> </w:t>
      </w:r>
      <w:proofErr w:type="spellStart"/>
      <w:r w:rsidRPr="00553E12">
        <w:rPr>
          <w:lang w:val="es-ES"/>
        </w:rPr>
        <w:t>Boost</w:t>
      </w:r>
      <w:proofErr w:type="spellEnd"/>
      <w:r w:rsidRPr="00553E12">
        <w:rPr>
          <w:lang w:val="es-ES"/>
        </w:rPr>
        <w:t xml:space="preserve"> y Vector Neural Network </w:t>
      </w:r>
      <w:proofErr w:type="spellStart"/>
      <w:r w:rsidRPr="00553E12">
        <w:rPr>
          <w:lang w:val="es-ES"/>
        </w:rPr>
        <w:t>Instructions</w:t>
      </w:r>
      <w:proofErr w:type="spellEnd"/>
      <w:r w:rsidRPr="00553E12">
        <w:rPr>
          <w:lang w:val="es-ES"/>
        </w:rPr>
        <w:t xml:space="preserve"> (VNNI), lo que permite una inferencia de IA eficiente en el </w:t>
      </w:r>
      <w:proofErr w:type="spellStart"/>
      <w:r w:rsidRPr="00553E12">
        <w:rPr>
          <w:lang w:val="es-ES"/>
        </w:rPr>
        <w:t>edge</w:t>
      </w:r>
      <w:proofErr w:type="spellEnd"/>
      <w:r w:rsidRPr="00553E12">
        <w:rPr>
          <w:lang w:val="es-ES"/>
        </w:rPr>
        <w:t xml:space="preserve">. Hasta 192 GB de memoria protegida por ECC en cuatro zócalos SO-DIMM aceleran aún más las cargas de trabajo GPGPU y las aplicaciones </w:t>
      </w:r>
      <w:proofErr w:type="spellStart"/>
      <w:r w:rsidRPr="00553E12">
        <w:rPr>
          <w:lang w:val="es-ES"/>
        </w:rPr>
        <w:t>edge</w:t>
      </w:r>
      <w:proofErr w:type="spellEnd"/>
      <w:r w:rsidRPr="00553E12">
        <w:rPr>
          <w:lang w:val="es-ES"/>
        </w:rPr>
        <w:t xml:space="preserve"> con gran volumen de datos. Las interfaces duales Gigabit Ethernet de 2,5, las amplias opciones de E/S, que incluyen cuatro puertos USB 3.2, cuatro puertos USB 2.0, SATA, UART, GPIO, I2C y audio de alta definición, completan el conjunto de características.</w:t>
      </w:r>
    </w:p>
    <w:p w14:paraId="4E682F8E" w14:textId="77777777" w:rsidR="00553E12" w:rsidRPr="00553E12" w:rsidRDefault="00553E12" w:rsidP="00553E12">
      <w:pPr>
        <w:rPr>
          <w:lang w:val="es-ES"/>
        </w:rPr>
      </w:pPr>
      <w:r w:rsidRPr="00553E12">
        <w:rPr>
          <w:lang w:val="es-ES"/>
        </w:rPr>
        <w:t>Las soluciones de refrigeración activa integrales garantizan una gestión térmica eficiente. Mediante el uso de disipadores de calor y adaptadores de tubos de calor, se pueden realizar incluso diseños de sistemas totalmente sellados.</w:t>
      </w:r>
    </w:p>
    <w:p w14:paraId="0DF54776" w14:textId="77777777" w:rsidR="00553E12" w:rsidRPr="00553E12" w:rsidRDefault="00553E12" w:rsidP="00553E12">
      <w:pPr>
        <w:rPr>
          <w:lang w:val="es-ES"/>
        </w:rPr>
      </w:pPr>
      <w:r w:rsidRPr="00553E12">
        <w:rPr>
          <w:lang w:val="es-ES"/>
        </w:rPr>
        <w:t>El conga-HPC/</w:t>
      </w:r>
      <w:proofErr w:type="spellStart"/>
      <w:r w:rsidRPr="00553E12">
        <w:rPr>
          <w:lang w:val="es-ES"/>
        </w:rPr>
        <w:t>cBLS</w:t>
      </w:r>
      <w:proofErr w:type="spellEnd"/>
      <w:r w:rsidRPr="00553E12">
        <w:rPr>
          <w:lang w:val="es-ES"/>
        </w:rPr>
        <w:t xml:space="preserve"> es compatible con Microsoft Windows 11, Windows 11 </w:t>
      </w:r>
      <w:proofErr w:type="spellStart"/>
      <w:r w:rsidRPr="00553E12">
        <w:rPr>
          <w:lang w:val="es-ES"/>
        </w:rPr>
        <w:t>IoT</w:t>
      </w:r>
      <w:proofErr w:type="spellEnd"/>
      <w:r w:rsidRPr="00553E12">
        <w:rPr>
          <w:lang w:val="es-ES"/>
        </w:rPr>
        <w:t xml:space="preserve"> Enterprise, Linux y Ubuntu Pro. Estos módulos aReady.COM listos para su uso pueden preconfigurarse con </w:t>
      </w:r>
      <w:proofErr w:type="spellStart"/>
      <w:r w:rsidRPr="00553E12">
        <w:rPr>
          <w:lang w:val="es-ES"/>
        </w:rPr>
        <w:t>ctrlX</w:t>
      </w:r>
      <w:proofErr w:type="spellEnd"/>
      <w:r w:rsidRPr="00553E12">
        <w:rPr>
          <w:lang w:val="es-ES"/>
        </w:rPr>
        <w:t xml:space="preserve"> OS, Ubuntu Pro o </w:t>
      </w:r>
      <w:proofErr w:type="spellStart"/>
      <w:r w:rsidRPr="00553E12">
        <w:rPr>
          <w:lang w:val="es-ES"/>
        </w:rPr>
        <w:t>KontronOS</w:t>
      </w:r>
      <w:proofErr w:type="spellEnd"/>
      <w:r w:rsidRPr="00553E12">
        <w:rPr>
          <w:lang w:val="es-ES"/>
        </w:rPr>
        <w:t xml:space="preserve"> con licencia.</w:t>
      </w:r>
    </w:p>
    <w:p w14:paraId="15C32A6C" w14:textId="77777777" w:rsidR="00553E12" w:rsidRPr="00553E12" w:rsidRDefault="00553E12" w:rsidP="00553E12">
      <w:pPr>
        <w:rPr>
          <w:lang w:val="es-ES"/>
        </w:rPr>
      </w:pPr>
    </w:p>
    <w:p w14:paraId="42934FEA" w14:textId="3D51A669" w:rsidR="00A535A8" w:rsidRPr="00553E12" w:rsidRDefault="00553E12" w:rsidP="00553E12">
      <w:pPr>
        <w:rPr>
          <w:lang w:val="es-ES"/>
        </w:rPr>
      </w:pPr>
      <w:r w:rsidRPr="00553E12">
        <w:rPr>
          <w:lang w:val="es-ES"/>
        </w:rPr>
        <w:t xml:space="preserve">La opción </w:t>
      </w:r>
      <w:proofErr w:type="spellStart"/>
      <w:r w:rsidRPr="00553E12">
        <w:rPr>
          <w:lang w:val="es-ES"/>
        </w:rPr>
        <w:t>aReady.VT</w:t>
      </w:r>
      <w:proofErr w:type="spellEnd"/>
      <w:r w:rsidRPr="00553E12">
        <w:rPr>
          <w:lang w:val="es-ES"/>
        </w:rPr>
        <w:t xml:space="preserve"> con un hipervisor conga-</w:t>
      </w:r>
      <w:proofErr w:type="spellStart"/>
      <w:r w:rsidRPr="00553E12">
        <w:rPr>
          <w:lang w:val="es-ES"/>
        </w:rPr>
        <w:t>zones</w:t>
      </w:r>
      <w:proofErr w:type="spellEnd"/>
      <w:r w:rsidRPr="00553E12">
        <w:rPr>
          <w:lang w:val="es-ES"/>
        </w:rPr>
        <w:t xml:space="preserve"> integrado permite a los desarrolladores consolidar múltiples cargas de trabajo, incluyendo control en tiempo real, HMI, IA y funcionalidad de puerta de enlace </w:t>
      </w:r>
      <w:proofErr w:type="spellStart"/>
      <w:r w:rsidRPr="00553E12">
        <w:rPr>
          <w:lang w:val="es-ES"/>
        </w:rPr>
        <w:t>IoT</w:t>
      </w:r>
      <w:proofErr w:type="spellEnd"/>
      <w:r w:rsidRPr="00553E12">
        <w:rPr>
          <w:lang w:val="es-ES"/>
        </w:rPr>
        <w:t xml:space="preserve">, en un solo módulo. Para la conectividad </w:t>
      </w:r>
      <w:proofErr w:type="spellStart"/>
      <w:r w:rsidRPr="00553E12">
        <w:rPr>
          <w:lang w:val="es-ES"/>
        </w:rPr>
        <w:t>IIoT</w:t>
      </w:r>
      <w:proofErr w:type="spellEnd"/>
      <w:r w:rsidRPr="00553E12">
        <w:rPr>
          <w:lang w:val="es-ES"/>
        </w:rPr>
        <w:t>, los desarrolladores pueden aprovechar los bloques de construcción de software conga-</w:t>
      </w:r>
      <w:proofErr w:type="spellStart"/>
      <w:r w:rsidRPr="00553E12">
        <w:rPr>
          <w:lang w:val="es-ES"/>
        </w:rPr>
        <w:t>connect</w:t>
      </w:r>
      <w:proofErr w:type="spellEnd"/>
      <w:r w:rsidRPr="00553E12">
        <w:rPr>
          <w:lang w:val="es-ES"/>
        </w:rPr>
        <w:t xml:space="preserve">, que permiten el intercambio de datos, así como la supervisión y gestión remotas del módulo, la placa base y los periféricos, incluida la conectividad segura a la nube. Para agilizar aún más el desarrollo de aplicaciones, </w:t>
      </w:r>
      <w:proofErr w:type="spellStart"/>
      <w:r w:rsidRPr="00553E12">
        <w:rPr>
          <w:lang w:val="es-ES"/>
        </w:rPr>
        <w:t>congatec</w:t>
      </w:r>
      <w:proofErr w:type="spellEnd"/>
      <w:r w:rsidRPr="00553E12">
        <w:rPr>
          <w:lang w:val="es-ES"/>
        </w:rPr>
        <w:t xml:space="preserve"> ofrece un ecosistema completo, que incluye placas base de evaluación y listas para aplicaciones. También están disponibles los servicios de personalización </w:t>
      </w:r>
      <w:proofErr w:type="spellStart"/>
      <w:r w:rsidRPr="00553E12">
        <w:rPr>
          <w:lang w:val="es-ES"/>
        </w:rPr>
        <w:t>aReady.YOURS</w:t>
      </w:r>
      <w:proofErr w:type="spellEnd"/>
      <w:r w:rsidRPr="00553E12">
        <w:rPr>
          <w:lang w:val="es-ES"/>
        </w:rPr>
        <w:t xml:space="preserve"> para COM, placas base y soluciones térmicas, incluyendo diseños totalmente personalizados</w:t>
      </w:r>
      <w:r w:rsidR="00A535A8" w:rsidRPr="00553E12">
        <w:rPr>
          <w:lang w:val="es-ES"/>
        </w:rPr>
        <w:t>.</w:t>
      </w:r>
    </w:p>
    <w:p w14:paraId="1647DCD6" w14:textId="77777777" w:rsidR="0030687E" w:rsidRPr="00553E12" w:rsidRDefault="0030687E" w:rsidP="000E18CA">
      <w:pPr>
        <w:pStyle w:val="NormalWeb"/>
        <w:spacing w:before="0" w:beforeAutospacing="0" w:after="0" w:afterAutospacing="0"/>
        <w:rPr>
          <w:lang w:val="es-ES"/>
        </w:rPr>
      </w:pP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D30882" w:rsidRPr="00553E12" w14:paraId="129C993E" w14:textId="77777777" w:rsidTr="0016134D">
        <w:tc>
          <w:tcPr>
            <w:tcW w:w="2127" w:type="dxa"/>
            <w:tcBorders>
              <w:bottom w:val="single" w:sz="4" w:space="0" w:color="000000"/>
            </w:tcBorders>
            <w:vAlign w:val="center"/>
          </w:tcPr>
          <w:p w14:paraId="13403767" w14:textId="251EDBC4" w:rsidR="00D30882" w:rsidRPr="00553E12" w:rsidRDefault="00D30882" w:rsidP="000E18CA">
            <w:pPr>
              <w:spacing w:line="240" w:lineRule="auto"/>
              <w:rPr>
                <w:b/>
                <w:sz w:val="16"/>
                <w:szCs w:val="16"/>
                <w:lang w:val="es-ES"/>
              </w:rPr>
            </w:pPr>
            <w:r w:rsidRPr="00553E12">
              <w:rPr>
                <w:b/>
                <w:sz w:val="16"/>
                <w:szCs w:val="16"/>
                <w:lang w:val="es-ES"/>
              </w:rPr>
              <w:t>CPU</w:t>
            </w:r>
          </w:p>
        </w:tc>
        <w:tc>
          <w:tcPr>
            <w:tcW w:w="254" w:type="dxa"/>
            <w:vAlign w:val="center"/>
          </w:tcPr>
          <w:p w14:paraId="219A32BA" w14:textId="77777777" w:rsidR="00D30882" w:rsidRPr="00553E12" w:rsidRDefault="00D30882" w:rsidP="000E18CA">
            <w:pPr>
              <w:spacing w:line="240" w:lineRule="auto"/>
              <w:rPr>
                <w:b/>
                <w:sz w:val="16"/>
                <w:szCs w:val="16"/>
                <w:lang w:val="es-ES"/>
              </w:rPr>
            </w:pPr>
          </w:p>
        </w:tc>
        <w:tc>
          <w:tcPr>
            <w:tcW w:w="907" w:type="dxa"/>
            <w:tcBorders>
              <w:bottom w:val="single" w:sz="4" w:space="0" w:color="000000"/>
            </w:tcBorders>
            <w:vAlign w:val="center"/>
          </w:tcPr>
          <w:p w14:paraId="3398C7E9" w14:textId="003B82E1" w:rsidR="00D30882" w:rsidRPr="00553E12" w:rsidRDefault="00553E12" w:rsidP="000E18CA">
            <w:pPr>
              <w:spacing w:line="240" w:lineRule="auto"/>
              <w:jc w:val="center"/>
              <w:rPr>
                <w:b/>
                <w:sz w:val="16"/>
                <w:szCs w:val="16"/>
                <w:lang w:val="es-ES"/>
              </w:rPr>
            </w:pPr>
            <w:r w:rsidRPr="00553E12">
              <w:rPr>
                <w:b/>
                <w:sz w:val="16"/>
                <w:szCs w:val="16"/>
                <w:lang w:val="es-ES"/>
              </w:rPr>
              <w:t>Núcleos</w:t>
            </w:r>
            <w:r w:rsidR="00D30882" w:rsidRPr="00553E12">
              <w:rPr>
                <w:b/>
                <w:sz w:val="16"/>
                <w:szCs w:val="16"/>
                <w:lang w:val="es-ES"/>
              </w:rPr>
              <w:t>/</w:t>
            </w:r>
            <w:r w:rsidR="00D30882" w:rsidRPr="00553E12">
              <w:rPr>
                <w:b/>
                <w:sz w:val="16"/>
                <w:szCs w:val="16"/>
                <w:lang w:val="es-ES"/>
              </w:rPr>
              <w:br/>
              <w:t>(P + E)</w:t>
            </w:r>
          </w:p>
        </w:tc>
        <w:tc>
          <w:tcPr>
            <w:tcW w:w="236" w:type="dxa"/>
            <w:vAlign w:val="center"/>
          </w:tcPr>
          <w:p w14:paraId="073A1448" w14:textId="77777777" w:rsidR="00D30882" w:rsidRPr="00553E12" w:rsidRDefault="00D30882" w:rsidP="000E18CA">
            <w:pPr>
              <w:spacing w:line="240" w:lineRule="auto"/>
              <w:jc w:val="center"/>
              <w:rPr>
                <w:b/>
                <w:sz w:val="16"/>
                <w:szCs w:val="16"/>
                <w:lang w:val="es-ES"/>
              </w:rPr>
            </w:pPr>
          </w:p>
        </w:tc>
        <w:tc>
          <w:tcPr>
            <w:tcW w:w="1191" w:type="dxa"/>
            <w:tcBorders>
              <w:bottom w:val="single" w:sz="4" w:space="0" w:color="000000"/>
            </w:tcBorders>
            <w:vAlign w:val="center"/>
          </w:tcPr>
          <w:p w14:paraId="5A28D171" w14:textId="41B109EC" w:rsidR="00D30882" w:rsidRPr="00553E12" w:rsidRDefault="00553E12" w:rsidP="000E18CA">
            <w:pPr>
              <w:spacing w:line="240" w:lineRule="auto"/>
              <w:jc w:val="center"/>
              <w:rPr>
                <w:b/>
                <w:sz w:val="16"/>
                <w:szCs w:val="16"/>
                <w:lang w:val="es-ES"/>
              </w:rPr>
            </w:pPr>
            <w:r w:rsidRPr="00553E12">
              <w:rPr>
                <w:b/>
                <w:sz w:val="16"/>
                <w:szCs w:val="16"/>
                <w:lang w:val="es-ES"/>
              </w:rPr>
              <w:t>Núcleos-P</w:t>
            </w:r>
            <w:r w:rsidR="00D30882" w:rsidRPr="00553E12">
              <w:rPr>
                <w:b/>
                <w:sz w:val="16"/>
                <w:szCs w:val="16"/>
                <w:lang w:val="es-ES"/>
              </w:rPr>
              <w:br/>
            </w:r>
            <w:proofErr w:type="spellStart"/>
            <w:r w:rsidR="00D30882" w:rsidRPr="00553E12">
              <w:rPr>
                <w:b/>
                <w:sz w:val="16"/>
                <w:szCs w:val="16"/>
                <w:lang w:val="es-ES"/>
              </w:rPr>
              <w:t>Takt</w:t>
            </w:r>
            <w:proofErr w:type="spellEnd"/>
            <w:r w:rsidR="00D30882" w:rsidRPr="00553E12">
              <w:rPr>
                <w:b/>
                <w:sz w:val="16"/>
                <w:szCs w:val="16"/>
                <w:lang w:val="es-ES"/>
              </w:rPr>
              <w:t xml:space="preserve"> [GHz] </w:t>
            </w:r>
          </w:p>
          <w:p w14:paraId="6AF7BA3C" w14:textId="77777777" w:rsidR="00D30882" w:rsidRPr="00553E12" w:rsidRDefault="00D30882" w:rsidP="000E18CA">
            <w:pPr>
              <w:spacing w:line="240" w:lineRule="auto"/>
              <w:jc w:val="center"/>
              <w:rPr>
                <w:b/>
                <w:sz w:val="16"/>
                <w:szCs w:val="16"/>
                <w:lang w:val="es-ES"/>
              </w:rPr>
            </w:pPr>
            <w:r w:rsidRPr="00553E12">
              <w:rPr>
                <w:b/>
                <w:sz w:val="16"/>
                <w:szCs w:val="16"/>
                <w:lang w:val="es-ES"/>
              </w:rPr>
              <w:t>(Base)</w:t>
            </w:r>
          </w:p>
        </w:tc>
        <w:tc>
          <w:tcPr>
            <w:tcW w:w="236" w:type="dxa"/>
          </w:tcPr>
          <w:p w14:paraId="3CB07600" w14:textId="77777777" w:rsidR="00D30882" w:rsidRPr="00553E12" w:rsidRDefault="00D30882" w:rsidP="000E18CA">
            <w:pPr>
              <w:spacing w:line="240" w:lineRule="auto"/>
              <w:jc w:val="center"/>
              <w:rPr>
                <w:b/>
                <w:sz w:val="16"/>
                <w:szCs w:val="16"/>
                <w:lang w:val="es-ES"/>
              </w:rPr>
            </w:pPr>
          </w:p>
        </w:tc>
        <w:tc>
          <w:tcPr>
            <w:tcW w:w="1191" w:type="dxa"/>
            <w:tcBorders>
              <w:bottom w:val="single" w:sz="4" w:space="0" w:color="000000"/>
            </w:tcBorders>
            <w:vAlign w:val="center"/>
          </w:tcPr>
          <w:p w14:paraId="58ABAE8C" w14:textId="61DD207F" w:rsidR="00D30882" w:rsidRPr="00553E12" w:rsidRDefault="00553E12" w:rsidP="000E18CA">
            <w:pPr>
              <w:spacing w:line="240" w:lineRule="auto"/>
              <w:jc w:val="center"/>
              <w:rPr>
                <w:b/>
                <w:sz w:val="16"/>
                <w:szCs w:val="16"/>
                <w:lang w:val="es-ES"/>
              </w:rPr>
            </w:pPr>
            <w:r w:rsidRPr="00553E12">
              <w:rPr>
                <w:b/>
                <w:sz w:val="16"/>
                <w:szCs w:val="16"/>
                <w:lang w:val="es-ES"/>
              </w:rPr>
              <w:t>Núcleos-P</w:t>
            </w:r>
            <w:r w:rsidR="00D30882" w:rsidRPr="00553E12">
              <w:rPr>
                <w:b/>
                <w:sz w:val="16"/>
                <w:szCs w:val="16"/>
                <w:lang w:val="es-ES"/>
              </w:rPr>
              <w:br/>
            </w:r>
            <w:proofErr w:type="spellStart"/>
            <w:r w:rsidR="00D30882" w:rsidRPr="00553E12">
              <w:rPr>
                <w:b/>
                <w:sz w:val="16"/>
                <w:szCs w:val="16"/>
                <w:lang w:val="es-ES"/>
              </w:rPr>
              <w:t>Takt</w:t>
            </w:r>
            <w:proofErr w:type="spellEnd"/>
            <w:r w:rsidR="00D30882" w:rsidRPr="00553E12">
              <w:rPr>
                <w:b/>
                <w:sz w:val="16"/>
                <w:szCs w:val="16"/>
                <w:lang w:val="es-ES"/>
              </w:rPr>
              <w:t xml:space="preserve"> [GHz]</w:t>
            </w:r>
            <w:r w:rsidR="00D30882" w:rsidRPr="00553E12">
              <w:rPr>
                <w:b/>
                <w:sz w:val="16"/>
                <w:szCs w:val="16"/>
                <w:lang w:val="es-ES"/>
              </w:rPr>
              <w:br/>
              <w:t xml:space="preserve">(Single P-Core Turbo / </w:t>
            </w:r>
            <w:proofErr w:type="spellStart"/>
            <w:r w:rsidR="00D30882" w:rsidRPr="00553E12">
              <w:rPr>
                <w:b/>
                <w:sz w:val="16"/>
                <w:szCs w:val="16"/>
                <w:lang w:val="es-ES"/>
              </w:rPr>
              <w:t>All</w:t>
            </w:r>
            <w:proofErr w:type="spellEnd"/>
            <w:r w:rsidR="00D30882" w:rsidRPr="00553E12">
              <w:rPr>
                <w:b/>
                <w:sz w:val="16"/>
                <w:szCs w:val="16"/>
                <w:lang w:val="es-ES"/>
              </w:rPr>
              <w:t xml:space="preserve"> P-Core Turbo)</w:t>
            </w:r>
          </w:p>
        </w:tc>
        <w:tc>
          <w:tcPr>
            <w:tcW w:w="236" w:type="dxa"/>
          </w:tcPr>
          <w:p w14:paraId="4D5414D0" w14:textId="77777777" w:rsidR="00D30882" w:rsidRPr="00553E12" w:rsidRDefault="00D30882" w:rsidP="000E18CA">
            <w:pPr>
              <w:spacing w:line="240" w:lineRule="auto"/>
              <w:jc w:val="center"/>
              <w:rPr>
                <w:b/>
                <w:sz w:val="16"/>
                <w:szCs w:val="16"/>
                <w:lang w:val="es-ES"/>
              </w:rPr>
            </w:pPr>
          </w:p>
        </w:tc>
        <w:tc>
          <w:tcPr>
            <w:tcW w:w="236" w:type="dxa"/>
            <w:vAlign w:val="center"/>
          </w:tcPr>
          <w:p w14:paraId="2DAF553E" w14:textId="77777777" w:rsidR="00D30882" w:rsidRPr="00553E12" w:rsidRDefault="00D30882" w:rsidP="000E18CA">
            <w:pPr>
              <w:spacing w:line="240" w:lineRule="auto"/>
              <w:jc w:val="center"/>
              <w:rPr>
                <w:b/>
                <w:sz w:val="16"/>
                <w:szCs w:val="16"/>
                <w:lang w:val="es-ES"/>
              </w:rPr>
            </w:pPr>
          </w:p>
        </w:tc>
        <w:tc>
          <w:tcPr>
            <w:tcW w:w="1020" w:type="dxa"/>
            <w:tcBorders>
              <w:bottom w:val="single" w:sz="4" w:space="0" w:color="000000"/>
            </w:tcBorders>
            <w:vAlign w:val="center"/>
          </w:tcPr>
          <w:p w14:paraId="3A65F1A8" w14:textId="77777777" w:rsidR="00D30882" w:rsidRPr="00553E12" w:rsidRDefault="00D30882" w:rsidP="000E18CA">
            <w:pPr>
              <w:spacing w:line="240" w:lineRule="auto"/>
              <w:jc w:val="center"/>
              <w:rPr>
                <w:b/>
                <w:sz w:val="16"/>
                <w:szCs w:val="16"/>
                <w:lang w:val="es-ES"/>
              </w:rPr>
            </w:pPr>
            <w:r w:rsidRPr="00553E12">
              <w:rPr>
                <w:b/>
                <w:sz w:val="16"/>
                <w:szCs w:val="16"/>
                <w:lang w:val="es-ES"/>
              </w:rPr>
              <w:t xml:space="preserve">GFX </w:t>
            </w:r>
            <w:proofErr w:type="spellStart"/>
            <w:r w:rsidRPr="00553E12">
              <w:rPr>
                <w:b/>
                <w:sz w:val="16"/>
                <w:szCs w:val="16"/>
                <w:lang w:val="es-ES"/>
              </w:rPr>
              <w:t>EUs</w:t>
            </w:r>
            <w:proofErr w:type="spellEnd"/>
          </w:p>
        </w:tc>
        <w:tc>
          <w:tcPr>
            <w:tcW w:w="236" w:type="dxa"/>
            <w:vAlign w:val="center"/>
          </w:tcPr>
          <w:p w14:paraId="73F49478" w14:textId="77777777" w:rsidR="00D30882" w:rsidRPr="00553E12" w:rsidRDefault="00D30882" w:rsidP="000E18CA">
            <w:pPr>
              <w:spacing w:line="240" w:lineRule="auto"/>
              <w:jc w:val="center"/>
              <w:rPr>
                <w:b/>
                <w:sz w:val="16"/>
                <w:szCs w:val="16"/>
                <w:lang w:val="es-ES"/>
              </w:rPr>
            </w:pPr>
          </w:p>
        </w:tc>
        <w:tc>
          <w:tcPr>
            <w:tcW w:w="850" w:type="dxa"/>
            <w:tcBorders>
              <w:bottom w:val="single" w:sz="4" w:space="0" w:color="000000"/>
            </w:tcBorders>
            <w:vAlign w:val="center"/>
          </w:tcPr>
          <w:p w14:paraId="08F0A2A7" w14:textId="13AE4049" w:rsidR="00D30882" w:rsidRPr="00553E12" w:rsidRDefault="00553E12" w:rsidP="000E18CA">
            <w:pPr>
              <w:spacing w:line="240" w:lineRule="auto"/>
              <w:jc w:val="center"/>
              <w:rPr>
                <w:b/>
                <w:color w:val="262626"/>
                <w:sz w:val="16"/>
                <w:szCs w:val="16"/>
                <w:lang w:val="es-ES"/>
              </w:rPr>
            </w:pPr>
            <w:r w:rsidRPr="00553E12">
              <w:rPr>
                <w:b/>
                <w:sz w:val="16"/>
                <w:szCs w:val="16"/>
                <w:lang w:val="es-ES"/>
              </w:rPr>
              <w:t>Potencia CPU base</w:t>
            </w:r>
            <w:r w:rsidR="00D30882" w:rsidRPr="00553E12">
              <w:rPr>
                <w:b/>
                <w:sz w:val="16"/>
                <w:szCs w:val="16"/>
                <w:lang w:val="es-ES"/>
              </w:rPr>
              <w:t xml:space="preserve"> [W]</w:t>
            </w:r>
          </w:p>
        </w:tc>
      </w:tr>
      <w:tr w:rsidR="00D30882" w:rsidRPr="00553E12" w14:paraId="433F490F" w14:textId="77777777" w:rsidTr="0016134D">
        <w:tc>
          <w:tcPr>
            <w:tcW w:w="2127" w:type="dxa"/>
            <w:tcBorders>
              <w:top w:val="single" w:sz="4" w:space="0" w:color="000000"/>
              <w:bottom w:val="single" w:sz="4" w:space="0" w:color="000000"/>
            </w:tcBorders>
            <w:vAlign w:val="center"/>
          </w:tcPr>
          <w:p w14:paraId="1CAF9852" w14:textId="77777777" w:rsidR="00D30882" w:rsidRPr="00553E12" w:rsidRDefault="00D30882" w:rsidP="000E18CA">
            <w:pPr>
              <w:spacing w:line="240" w:lineRule="auto"/>
              <w:rPr>
                <w:sz w:val="16"/>
                <w:szCs w:val="16"/>
                <w:lang w:val="es-ES"/>
              </w:rPr>
            </w:pPr>
            <w:r w:rsidRPr="00553E12">
              <w:rPr>
                <w:sz w:val="16"/>
                <w:szCs w:val="16"/>
                <w:lang w:val="es-ES"/>
              </w:rPr>
              <w:t>Intel Core 9 273PE</w:t>
            </w:r>
          </w:p>
        </w:tc>
        <w:tc>
          <w:tcPr>
            <w:tcW w:w="254" w:type="dxa"/>
            <w:vAlign w:val="center"/>
          </w:tcPr>
          <w:p w14:paraId="17734F7E" w14:textId="77777777" w:rsidR="00D30882" w:rsidRPr="00553E12" w:rsidRDefault="00D30882" w:rsidP="000E18CA">
            <w:pPr>
              <w:spacing w:line="240" w:lineRule="auto"/>
              <w:rPr>
                <w:sz w:val="16"/>
                <w:szCs w:val="16"/>
                <w:lang w:val="es-ES"/>
              </w:rPr>
            </w:pPr>
          </w:p>
        </w:tc>
        <w:tc>
          <w:tcPr>
            <w:tcW w:w="907" w:type="dxa"/>
            <w:tcBorders>
              <w:top w:val="single" w:sz="4" w:space="0" w:color="000000"/>
              <w:bottom w:val="single" w:sz="4" w:space="0" w:color="000000"/>
            </w:tcBorders>
            <w:vAlign w:val="center"/>
          </w:tcPr>
          <w:p w14:paraId="3DBD561D" w14:textId="77777777" w:rsidR="00D30882" w:rsidRPr="00553E12" w:rsidRDefault="00D30882" w:rsidP="000E18CA">
            <w:pPr>
              <w:spacing w:line="240" w:lineRule="auto"/>
              <w:rPr>
                <w:sz w:val="16"/>
                <w:szCs w:val="16"/>
                <w:lang w:val="es-ES"/>
              </w:rPr>
            </w:pPr>
            <w:r w:rsidRPr="00553E12">
              <w:rPr>
                <w:sz w:val="16"/>
                <w:szCs w:val="16"/>
                <w:lang w:val="es-ES"/>
              </w:rPr>
              <w:t>12 (12+0)</w:t>
            </w:r>
          </w:p>
        </w:tc>
        <w:tc>
          <w:tcPr>
            <w:tcW w:w="236" w:type="dxa"/>
            <w:vAlign w:val="center"/>
          </w:tcPr>
          <w:p w14:paraId="239D5900" w14:textId="77777777" w:rsidR="00D30882" w:rsidRPr="00553E12" w:rsidRDefault="00D30882" w:rsidP="000E18CA">
            <w:pPr>
              <w:spacing w:line="240" w:lineRule="auto"/>
              <w:rPr>
                <w:sz w:val="16"/>
                <w:szCs w:val="16"/>
                <w:lang w:val="es-ES"/>
              </w:rPr>
            </w:pPr>
          </w:p>
        </w:tc>
        <w:tc>
          <w:tcPr>
            <w:tcW w:w="1191" w:type="dxa"/>
            <w:tcBorders>
              <w:top w:val="single" w:sz="4" w:space="0" w:color="000000"/>
              <w:bottom w:val="single" w:sz="4" w:space="0" w:color="000000"/>
            </w:tcBorders>
            <w:vAlign w:val="center"/>
          </w:tcPr>
          <w:p w14:paraId="666C0CE5" w14:textId="77777777" w:rsidR="00D30882" w:rsidRPr="00553E12" w:rsidRDefault="00D30882" w:rsidP="000E18CA">
            <w:pPr>
              <w:spacing w:line="240" w:lineRule="auto"/>
              <w:jc w:val="center"/>
              <w:rPr>
                <w:sz w:val="16"/>
                <w:szCs w:val="16"/>
                <w:lang w:val="es-ES"/>
              </w:rPr>
            </w:pPr>
            <w:r w:rsidRPr="00553E12">
              <w:rPr>
                <w:sz w:val="16"/>
                <w:szCs w:val="16"/>
                <w:lang w:val="es-ES"/>
              </w:rPr>
              <w:t>2,3</w:t>
            </w:r>
          </w:p>
        </w:tc>
        <w:tc>
          <w:tcPr>
            <w:tcW w:w="236" w:type="dxa"/>
          </w:tcPr>
          <w:p w14:paraId="5A379A5C" w14:textId="77777777" w:rsidR="00D30882" w:rsidRPr="00553E12" w:rsidRDefault="00D30882" w:rsidP="000E18CA">
            <w:pPr>
              <w:spacing w:line="240" w:lineRule="auto"/>
              <w:rPr>
                <w:sz w:val="16"/>
                <w:szCs w:val="16"/>
                <w:lang w:val="es-ES"/>
              </w:rPr>
            </w:pPr>
          </w:p>
        </w:tc>
        <w:tc>
          <w:tcPr>
            <w:tcW w:w="1191" w:type="dxa"/>
            <w:tcBorders>
              <w:top w:val="single" w:sz="4" w:space="0" w:color="000000"/>
              <w:bottom w:val="single" w:sz="4" w:space="0" w:color="000000"/>
            </w:tcBorders>
            <w:vAlign w:val="center"/>
          </w:tcPr>
          <w:p w14:paraId="2229AE37" w14:textId="77777777" w:rsidR="00D30882" w:rsidRPr="00553E12" w:rsidRDefault="00D30882" w:rsidP="000E18CA">
            <w:pPr>
              <w:spacing w:line="240" w:lineRule="auto"/>
              <w:jc w:val="center"/>
              <w:rPr>
                <w:sz w:val="16"/>
                <w:szCs w:val="16"/>
                <w:lang w:val="es-ES"/>
              </w:rPr>
            </w:pPr>
            <w:r w:rsidRPr="00553E12">
              <w:rPr>
                <w:sz w:val="16"/>
                <w:szCs w:val="16"/>
                <w:lang w:val="es-ES"/>
              </w:rPr>
              <w:t>5,7 / 5,2</w:t>
            </w:r>
          </w:p>
        </w:tc>
        <w:tc>
          <w:tcPr>
            <w:tcW w:w="236" w:type="dxa"/>
          </w:tcPr>
          <w:p w14:paraId="340D31F2" w14:textId="77777777" w:rsidR="00D30882" w:rsidRPr="00553E12" w:rsidRDefault="00D30882" w:rsidP="000E18CA">
            <w:pPr>
              <w:spacing w:line="240" w:lineRule="auto"/>
              <w:rPr>
                <w:sz w:val="16"/>
                <w:szCs w:val="16"/>
                <w:lang w:val="es-ES"/>
              </w:rPr>
            </w:pPr>
          </w:p>
        </w:tc>
        <w:tc>
          <w:tcPr>
            <w:tcW w:w="236" w:type="dxa"/>
            <w:vAlign w:val="center"/>
          </w:tcPr>
          <w:p w14:paraId="7941F311" w14:textId="77777777" w:rsidR="00D30882" w:rsidRPr="00553E12" w:rsidRDefault="00D30882" w:rsidP="000E18CA">
            <w:pPr>
              <w:spacing w:line="240" w:lineRule="auto"/>
              <w:rPr>
                <w:sz w:val="16"/>
                <w:szCs w:val="16"/>
                <w:lang w:val="es-ES"/>
              </w:rPr>
            </w:pPr>
          </w:p>
        </w:tc>
        <w:tc>
          <w:tcPr>
            <w:tcW w:w="1020" w:type="dxa"/>
            <w:tcBorders>
              <w:top w:val="single" w:sz="4" w:space="0" w:color="000000"/>
              <w:bottom w:val="single" w:sz="4" w:space="0" w:color="000000"/>
            </w:tcBorders>
            <w:vAlign w:val="center"/>
          </w:tcPr>
          <w:p w14:paraId="7216D16D" w14:textId="77777777" w:rsidR="00D30882" w:rsidRPr="00553E12" w:rsidRDefault="00D30882" w:rsidP="000E18CA">
            <w:pPr>
              <w:spacing w:line="240" w:lineRule="auto"/>
              <w:jc w:val="center"/>
              <w:rPr>
                <w:sz w:val="16"/>
                <w:szCs w:val="16"/>
                <w:lang w:val="es-ES"/>
              </w:rPr>
            </w:pPr>
            <w:r w:rsidRPr="00553E12">
              <w:rPr>
                <w:sz w:val="16"/>
                <w:szCs w:val="16"/>
                <w:lang w:val="es-ES"/>
              </w:rPr>
              <w:t>32</w:t>
            </w:r>
          </w:p>
        </w:tc>
        <w:tc>
          <w:tcPr>
            <w:tcW w:w="236" w:type="dxa"/>
            <w:vAlign w:val="center"/>
          </w:tcPr>
          <w:p w14:paraId="706D4558" w14:textId="77777777" w:rsidR="00D30882" w:rsidRPr="00553E12" w:rsidRDefault="00D30882" w:rsidP="000E18CA">
            <w:pPr>
              <w:spacing w:line="240" w:lineRule="auto"/>
              <w:rPr>
                <w:sz w:val="16"/>
                <w:szCs w:val="16"/>
                <w:lang w:val="es-ES"/>
              </w:rPr>
            </w:pPr>
          </w:p>
        </w:tc>
        <w:tc>
          <w:tcPr>
            <w:tcW w:w="850" w:type="dxa"/>
            <w:tcBorders>
              <w:top w:val="single" w:sz="4" w:space="0" w:color="000000"/>
              <w:bottom w:val="single" w:sz="4" w:space="0" w:color="000000"/>
            </w:tcBorders>
            <w:vAlign w:val="center"/>
          </w:tcPr>
          <w:p w14:paraId="2B0A3FD3" w14:textId="77777777" w:rsidR="00D30882" w:rsidRPr="00553E12" w:rsidRDefault="00D30882" w:rsidP="000E18CA">
            <w:pPr>
              <w:spacing w:line="240" w:lineRule="auto"/>
              <w:jc w:val="center"/>
              <w:rPr>
                <w:sz w:val="16"/>
                <w:szCs w:val="16"/>
                <w:lang w:val="es-ES"/>
              </w:rPr>
            </w:pPr>
            <w:r w:rsidRPr="00553E12">
              <w:rPr>
                <w:sz w:val="16"/>
                <w:szCs w:val="16"/>
                <w:lang w:val="es-ES"/>
              </w:rPr>
              <w:t>65</w:t>
            </w:r>
          </w:p>
        </w:tc>
      </w:tr>
      <w:tr w:rsidR="00D30882" w:rsidRPr="00553E12" w14:paraId="6D8CE7D3" w14:textId="77777777" w:rsidTr="0016134D">
        <w:tc>
          <w:tcPr>
            <w:tcW w:w="2127" w:type="dxa"/>
            <w:tcBorders>
              <w:top w:val="single" w:sz="4" w:space="0" w:color="000000"/>
            </w:tcBorders>
            <w:vAlign w:val="center"/>
          </w:tcPr>
          <w:p w14:paraId="6DE2A242" w14:textId="77777777" w:rsidR="00D30882" w:rsidRPr="00553E12" w:rsidRDefault="00D30882" w:rsidP="000E18CA">
            <w:pPr>
              <w:spacing w:line="240" w:lineRule="auto"/>
              <w:rPr>
                <w:sz w:val="16"/>
                <w:szCs w:val="16"/>
                <w:lang w:val="es-ES"/>
              </w:rPr>
            </w:pPr>
            <w:r w:rsidRPr="00553E12">
              <w:rPr>
                <w:sz w:val="16"/>
                <w:szCs w:val="16"/>
                <w:lang w:val="es-ES"/>
              </w:rPr>
              <w:t>Intel Core 7 253PE</w:t>
            </w:r>
          </w:p>
        </w:tc>
        <w:tc>
          <w:tcPr>
            <w:tcW w:w="254" w:type="dxa"/>
            <w:vAlign w:val="center"/>
          </w:tcPr>
          <w:p w14:paraId="2A77A7B4" w14:textId="77777777" w:rsidR="00D30882" w:rsidRPr="00553E12" w:rsidRDefault="00D30882" w:rsidP="000E18CA">
            <w:pPr>
              <w:spacing w:line="240" w:lineRule="auto"/>
              <w:rPr>
                <w:sz w:val="16"/>
                <w:szCs w:val="16"/>
                <w:lang w:val="es-ES"/>
              </w:rPr>
            </w:pPr>
          </w:p>
        </w:tc>
        <w:tc>
          <w:tcPr>
            <w:tcW w:w="907" w:type="dxa"/>
            <w:tcBorders>
              <w:top w:val="single" w:sz="4" w:space="0" w:color="000000"/>
            </w:tcBorders>
            <w:vAlign w:val="center"/>
          </w:tcPr>
          <w:p w14:paraId="4B696341" w14:textId="77777777" w:rsidR="00D30882" w:rsidRPr="00553E12" w:rsidRDefault="00D30882" w:rsidP="000E18CA">
            <w:pPr>
              <w:spacing w:line="240" w:lineRule="auto"/>
              <w:jc w:val="center"/>
              <w:rPr>
                <w:sz w:val="16"/>
                <w:szCs w:val="16"/>
                <w:lang w:val="es-ES"/>
              </w:rPr>
            </w:pPr>
            <w:r w:rsidRPr="00553E12">
              <w:rPr>
                <w:sz w:val="16"/>
                <w:szCs w:val="16"/>
                <w:lang w:val="es-ES"/>
              </w:rPr>
              <w:t>10 (10+0)</w:t>
            </w:r>
          </w:p>
        </w:tc>
        <w:tc>
          <w:tcPr>
            <w:tcW w:w="236" w:type="dxa"/>
            <w:vAlign w:val="center"/>
          </w:tcPr>
          <w:p w14:paraId="25119DAA" w14:textId="77777777" w:rsidR="00D30882" w:rsidRPr="00553E12" w:rsidRDefault="00D30882" w:rsidP="000E18CA">
            <w:pPr>
              <w:spacing w:line="240" w:lineRule="auto"/>
              <w:jc w:val="center"/>
              <w:rPr>
                <w:sz w:val="16"/>
                <w:szCs w:val="16"/>
                <w:lang w:val="es-ES"/>
              </w:rPr>
            </w:pPr>
          </w:p>
        </w:tc>
        <w:tc>
          <w:tcPr>
            <w:tcW w:w="1191" w:type="dxa"/>
            <w:tcBorders>
              <w:top w:val="single" w:sz="4" w:space="0" w:color="000000"/>
            </w:tcBorders>
            <w:vAlign w:val="center"/>
          </w:tcPr>
          <w:p w14:paraId="2FDA4F90" w14:textId="77777777" w:rsidR="00D30882" w:rsidRPr="00553E12" w:rsidRDefault="00D30882" w:rsidP="000E18CA">
            <w:pPr>
              <w:spacing w:line="240" w:lineRule="auto"/>
              <w:jc w:val="center"/>
              <w:rPr>
                <w:sz w:val="16"/>
                <w:szCs w:val="16"/>
                <w:lang w:val="es-ES"/>
              </w:rPr>
            </w:pPr>
            <w:r w:rsidRPr="00553E12">
              <w:rPr>
                <w:sz w:val="16"/>
                <w:szCs w:val="16"/>
                <w:lang w:val="es-ES"/>
              </w:rPr>
              <w:t>2,5</w:t>
            </w:r>
          </w:p>
        </w:tc>
        <w:tc>
          <w:tcPr>
            <w:tcW w:w="236" w:type="dxa"/>
          </w:tcPr>
          <w:p w14:paraId="652B01C1" w14:textId="77777777" w:rsidR="00D30882" w:rsidRPr="00553E12" w:rsidRDefault="00D30882" w:rsidP="000E18CA">
            <w:pPr>
              <w:spacing w:line="240" w:lineRule="auto"/>
              <w:jc w:val="center"/>
              <w:rPr>
                <w:sz w:val="16"/>
                <w:szCs w:val="16"/>
                <w:lang w:val="es-ES"/>
              </w:rPr>
            </w:pPr>
          </w:p>
        </w:tc>
        <w:tc>
          <w:tcPr>
            <w:tcW w:w="1191" w:type="dxa"/>
            <w:tcBorders>
              <w:top w:val="single" w:sz="4" w:space="0" w:color="000000"/>
            </w:tcBorders>
            <w:vAlign w:val="center"/>
          </w:tcPr>
          <w:p w14:paraId="3DEF3D07" w14:textId="77777777" w:rsidR="00D30882" w:rsidRPr="00553E12" w:rsidRDefault="00D30882" w:rsidP="000E18CA">
            <w:pPr>
              <w:spacing w:line="240" w:lineRule="auto"/>
              <w:jc w:val="center"/>
              <w:rPr>
                <w:sz w:val="16"/>
                <w:szCs w:val="16"/>
                <w:lang w:val="es-ES"/>
              </w:rPr>
            </w:pPr>
            <w:r w:rsidRPr="00553E12">
              <w:rPr>
                <w:sz w:val="16"/>
                <w:szCs w:val="16"/>
                <w:lang w:val="es-ES"/>
              </w:rPr>
              <w:t>5,5 / 5,1</w:t>
            </w:r>
          </w:p>
        </w:tc>
        <w:tc>
          <w:tcPr>
            <w:tcW w:w="236" w:type="dxa"/>
          </w:tcPr>
          <w:p w14:paraId="1E050F4F" w14:textId="77777777" w:rsidR="00D30882" w:rsidRPr="00553E12" w:rsidRDefault="00D30882" w:rsidP="000E18CA">
            <w:pPr>
              <w:spacing w:line="240" w:lineRule="auto"/>
              <w:jc w:val="center"/>
              <w:rPr>
                <w:sz w:val="16"/>
                <w:szCs w:val="16"/>
                <w:lang w:val="es-ES"/>
              </w:rPr>
            </w:pPr>
          </w:p>
        </w:tc>
        <w:tc>
          <w:tcPr>
            <w:tcW w:w="236" w:type="dxa"/>
            <w:vAlign w:val="center"/>
          </w:tcPr>
          <w:p w14:paraId="43291467" w14:textId="77777777" w:rsidR="00D30882" w:rsidRPr="00553E12" w:rsidRDefault="00D30882" w:rsidP="000E18CA">
            <w:pPr>
              <w:spacing w:line="240" w:lineRule="auto"/>
              <w:jc w:val="center"/>
              <w:rPr>
                <w:sz w:val="16"/>
                <w:szCs w:val="16"/>
                <w:lang w:val="es-ES"/>
              </w:rPr>
            </w:pPr>
          </w:p>
        </w:tc>
        <w:tc>
          <w:tcPr>
            <w:tcW w:w="1020" w:type="dxa"/>
            <w:tcBorders>
              <w:top w:val="single" w:sz="4" w:space="0" w:color="000000"/>
            </w:tcBorders>
            <w:vAlign w:val="center"/>
          </w:tcPr>
          <w:p w14:paraId="1A0090EE" w14:textId="77777777" w:rsidR="00D30882" w:rsidRPr="00553E12" w:rsidRDefault="00D30882" w:rsidP="000E18CA">
            <w:pPr>
              <w:spacing w:line="240" w:lineRule="auto"/>
              <w:jc w:val="center"/>
              <w:rPr>
                <w:sz w:val="16"/>
                <w:szCs w:val="16"/>
                <w:lang w:val="es-ES"/>
              </w:rPr>
            </w:pPr>
            <w:r w:rsidRPr="00553E12">
              <w:rPr>
                <w:sz w:val="16"/>
                <w:szCs w:val="16"/>
                <w:lang w:val="es-ES"/>
              </w:rPr>
              <w:t>32</w:t>
            </w:r>
          </w:p>
        </w:tc>
        <w:tc>
          <w:tcPr>
            <w:tcW w:w="236" w:type="dxa"/>
            <w:vAlign w:val="center"/>
          </w:tcPr>
          <w:p w14:paraId="22C4C850" w14:textId="77777777" w:rsidR="00D30882" w:rsidRPr="00553E12" w:rsidRDefault="00D30882" w:rsidP="000E18CA">
            <w:pPr>
              <w:spacing w:line="240" w:lineRule="auto"/>
              <w:rPr>
                <w:sz w:val="16"/>
                <w:szCs w:val="16"/>
                <w:lang w:val="es-ES"/>
              </w:rPr>
            </w:pPr>
          </w:p>
        </w:tc>
        <w:tc>
          <w:tcPr>
            <w:tcW w:w="850" w:type="dxa"/>
            <w:tcBorders>
              <w:top w:val="single" w:sz="4" w:space="0" w:color="000000"/>
            </w:tcBorders>
            <w:vAlign w:val="center"/>
          </w:tcPr>
          <w:p w14:paraId="72457455" w14:textId="77777777" w:rsidR="00D30882" w:rsidRPr="00553E12" w:rsidRDefault="00D30882" w:rsidP="000E18CA">
            <w:pPr>
              <w:spacing w:line="240" w:lineRule="auto"/>
              <w:jc w:val="center"/>
              <w:rPr>
                <w:sz w:val="16"/>
                <w:szCs w:val="16"/>
                <w:lang w:val="es-ES"/>
              </w:rPr>
            </w:pPr>
            <w:r w:rsidRPr="00553E12">
              <w:rPr>
                <w:sz w:val="16"/>
                <w:szCs w:val="16"/>
                <w:lang w:val="es-ES"/>
              </w:rPr>
              <w:t>65</w:t>
            </w:r>
          </w:p>
        </w:tc>
      </w:tr>
      <w:tr w:rsidR="00D30882" w:rsidRPr="00553E12" w14:paraId="4BA7E528" w14:textId="77777777" w:rsidTr="0016134D">
        <w:tc>
          <w:tcPr>
            <w:tcW w:w="2127" w:type="dxa"/>
            <w:tcBorders>
              <w:top w:val="single" w:sz="4" w:space="0" w:color="000000"/>
            </w:tcBorders>
            <w:vAlign w:val="center"/>
          </w:tcPr>
          <w:p w14:paraId="51A668BC" w14:textId="77777777" w:rsidR="00D30882" w:rsidRPr="00553E12" w:rsidRDefault="00D30882" w:rsidP="000E18CA">
            <w:pPr>
              <w:spacing w:line="240" w:lineRule="auto"/>
              <w:rPr>
                <w:sz w:val="16"/>
                <w:szCs w:val="16"/>
                <w:lang w:val="es-ES"/>
              </w:rPr>
            </w:pPr>
            <w:r w:rsidRPr="00553E12">
              <w:rPr>
                <w:sz w:val="16"/>
                <w:szCs w:val="16"/>
                <w:lang w:val="es-ES"/>
              </w:rPr>
              <w:t>Intel Core 5 213PE</w:t>
            </w:r>
          </w:p>
        </w:tc>
        <w:tc>
          <w:tcPr>
            <w:tcW w:w="254" w:type="dxa"/>
            <w:vAlign w:val="center"/>
          </w:tcPr>
          <w:p w14:paraId="780CE177" w14:textId="77777777" w:rsidR="00D30882" w:rsidRPr="00553E12" w:rsidRDefault="00D30882" w:rsidP="000E18CA">
            <w:pPr>
              <w:spacing w:line="240" w:lineRule="auto"/>
              <w:rPr>
                <w:sz w:val="16"/>
                <w:szCs w:val="16"/>
                <w:lang w:val="es-ES"/>
              </w:rPr>
            </w:pPr>
          </w:p>
        </w:tc>
        <w:tc>
          <w:tcPr>
            <w:tcW w:w="907" w:type="dxa"/>
            <w:tcBorders>
              <w:top w:val="single" w:sz="4" w:space="0" w:color="000000"/>
            </w:tcBorders>
            <w:vAlign w:val="center"/>
          </w:tcPr>
          <w:p w14:paraId="21328506" w14:textId="77777777" w:rsidR="00D30882" w:rsidRPr="00553E12" w:rsidRDefault="00D30882" w:rsidP="000E18CA">
            <w:pPr>
              <w:spacing w:line="240" w:lineRule="auto"/>
              <w:jc w:val="center"/>
              <w:rPr>
                <w:sz w:val="16"/>
                <w:szCs w:val="16"/>
                <w:lang w:val="es-ES"/>
              </w:rPr>
            </w:pPr>
            <w:r w:rsidRPr="00553E12">
              <w:rPr>
                <w:sz w:val="16"/>
                <w:szCs w:val="16"/>
                <w:lang w:val="es-ES"/>
              </w:rPr>
              <w:t>8 (8+0)</w:t>
            </w:r>
          </w:p>
        </w:tc>
        <w:tc>
          <w:tcPr>
            <w:tcW w:w="236" w:type="dxa"/>
            <w:vAlign w:val="center"/>
          </w:tcPr>
          <w:p w14:paraId="2A25F526" w14:textId="77777777" w:rsidR="00D30882" w:rsidRPr="00553E12" w:rsidRDefault="00D30882" w:rsidP="000E18CA">
            <w:pPr>
              <w:spacing w:line="240" w:lineRule="auto"/>
              <w:jc w:val="center"/>
              <w:rPr>
                <w:sz w:val="16"/>
                <w:szCs w:val="16"/>
                <w:lang w:val="es-ES"/>
              </w:rPr>
            </w:pPr>
          </w:p>
        </w:tc>
        <w:tc>
          <w:tcPr>
            <w:tcW w:w="1191" w:type="dxa"/>
            <w:tcBorders>
              <w:top w:val="single" w:sz="4" w:space="0" w:color="000000"/>
            </w:tcBorders>
            <w:vAlign w:val="center"/>
          </w:tcPr>
          <w:p w14:paraId="0D3A6E9A" w14:textId="77777777" w:rsidR="00D30882" w:rsidRPr="00553E12" w:rsidRDefault="00D30882" w:rsidP="000E18CA">
            <w:pPr>
              <w:spacing w:line="240" w:lineRule="auto"/>
              <w:jc w:val="center"/>
              <w:rPr>
                <w:sz w:val="16"/>
                <w:szCs w:val="16"/>
                <w:lang w:val="es-ES"/>
              </w:rPr>
            </w:pPr>
            <w:r w:rsidRPr="00553E12">
              <w:rPr>
                <w:sz w:val="16"/>
                <w:szCs w:val="16"/>
                <w:lang w:val="es-ES"/>
              </w:rPr>
              <w:t>2,7</w:t>
            </w:r>
          </w:p>
        </w:tc>
        <w:tc>
          <w:tcPr>
            <w:tcW w:w="236" w:type="dxa"/>
          </w:tcPr>
          <w:p w14:paraId="15B1BB7A" w14:textId="77777777" w:rsidR="00D30882" w:rsidRPr="00553E12" w:rsidRDefault="00D30882" w:rsidP="000E18CA">
            <w:pPr>
              <w:spacing w:line="240" w:lineRule="auto"/>
              <w:jc w:val="center"/>
              <w:rPr>
                <w:sz w:val="16"/>
                <w:szCs w:val="16"/>
                <w:lang w:val="es-ES"/>
              </w:rPr>
            </w:pPr>
          </w:p>
        </w:tc>
        <w:tc>
          <w:tcPr>
            <w:tcW w:w="1191" w:type="dxa"/>
            <w:tcBorders>
              <w:top w:val="single" w:sz="4" w:space="0" w:color="000000"/>
            </w:tcBorders>
            <w:vAlign w:val="center"/>
          </w:tcPr>
          <w:p w14:paraId="5E71ED44" w14:textId="77777777" w:rsidR="00D30882" w:rsidRPr="00553E12" w:rsidRDefault="00D30882" w:rsidP="000E18CA">
            <w:pPr>
              <w:spacing w:line="240" w:lineRule="auto"/>
              <w:jc w:val="center"/>
              <w:rPr>
                <w:sz w:val="16"/>
                <w:szCs w:val="16"/>
                <w:lang w:val="es-ES"/>
              </w:rPr>
            </w:pPr>
            <w:r w:rsidRPr="00553E12">
              <w:rPr>
                <w:sz w:val="16"/>
                <w:szCs w:val="16"/>
                <w:lang w:val="es-ES"/>
              </w:rPr>
              <w:t>5,2 / 4,6</w:t>
            </w:r>
          </w:p>
        </w:tc>
        <w:tc>
          <w:tcPr>
            <w:tcW w:w="236" w:type="dxa"/>
          </w:tcPr>
          <w:p w14:paraId="53A84183" w14:textId="77777777" w:rsidR="00D30882" w:rsidRPr="00553E12" w:rsidRDefault="00D30882" w:rsidP="000E18CA">
            <w:pPr>
              <w:spacing w:line="240" w:lineRule="auto"/>
              <w:jc w:val="center"/>
              <w:rPr>
                <w:sz w:val="16"/>
                <w:szCs w:val="16"/>
                <w:lang w:val="es-ES"/>
              </w:rPr>
            </w:pPr>
          </w:p>
        </w:tc>
        <w:tc>
          <w:tcPr>
            <w:tcW w:w="236" w:type="dxa"/>
            <w:vAlign w:val="center"/>
          </w:tcPr>
          <w:p w14:paraId="78E6296F" w14:textId="77777777" w:rsidR="00D30882" w:rsidRPr="00553E12" w:rsidRDefault="00D30882" w:rsidP="000E18CA">
            <w:pPr>
              <w:spacing w:line="240" w:lineRule="auto"/>
              <w:jc w:val="center"/>
              <w:rPr>
                <w:sz w:val="16"/>
                <w:szCs w:val="16"/>
                <w:lang w:val="es-ES"/>
              </w:rPr>
            </w:pPr>
          </w:p>
        </w:tc>
        <w:tc>
          <w:tcPr>
            <w:tcW w:w="1020" w:type="dxa"/>
            <w:tcBorders>
              <w:top w:val="single" w:sz="4" w:space="0" w:color="000000"/>
            </w:tcBorders>
            <w:vAlign w:val="center"/>
          </w:tcPr>
          <w:p w14:paraId="30D08847" w14:textId="77777777" w:rsidR="00D30882" w:rsidRPr="00553E12" w:rsidRDefault="00D30882" w:rsidP="000E18CA">
            <w:pPr>
              <w:spacing w:line="240" w:lineRule="auto"/>
              <w:jc w:val="center"/>
              <w:rPr>
                <w:sz w:val="16"/>
                <w:szCs w:val="16"/>
                <w:lang w:val="es-ES"/>
              </w:rPr>
            </w:pPr>
            <w:r w:rsidRPr="00553E12">
              <w:rPr>
                <w:sz w:val="16"/>
                <w:szCs w:val="16"/>
                <w:lang w:val="es-ES"/>
              </w:rPr>
              <w:t>24</w:t>
            </w:r>
          </w:p>
        </w:tc>
        <w:tc>
          <w:tcPr>
            <w:tcW w:w="236" w:type="dxa"/>
            <w:vAlign w:val="center"/>
          </w:tcPr>
          <w:p w14:paraId="4B08D67F" w14:textId="77777777" w:rsidR="00D30882" w:rsidRPr="00553E12" w:rsidRDefault="00D30882" w:rsidP="000E18CA">
            <w:pPr>
              <w:spacing w:line="240" w:lineRule="auto"/>
              <w:rPr>
                <w:sz w:val="16"/>
                <w:szCs w:val="16"/>
                <w:lang w:val="es-ES"/>
              </w:rPr>
            </w:pPr>
          </w:p>
        </w:tc>
        <w:tc>
          <w:tcPr>
            <w:tcW w:w="850" w:type="dxa"/>
            <w:tcBorders>
              <w:top w:val="single" w:sz="4" w:space="0" w:color="000000"/>
            </w:tcBorders>
            <w:vAlign w:val="center"/>
          </w:tcPr>
          <w:p w14:paraId="2D19A3A6" w14:textId="77777777" w:rsidR="00D30882" w:rsidRPr="00553E12" w:rsidRDefault="00D30882" w:rsidP="000E18CA">
            <w:pPr>
              <w:spacing w:line="240" w:lineRule="auto"/>
              <w:jc w:val="center"/>
              <w:rPr>
                <w:sz w:val="16"/>
                <w:szCs w:val="16"/>
                <w:lang w:val="es-ES"/>
              </w:rPr>
            </w:pPr>
            <w:r w:rsidRPr="00553E12">
              <w:rPr>
                <w:sz w:val="16"/>
                <w:szCs w:val="16"/>
                <w:lang w:val="es-ES"/>
              </w:rPr>
              <w:t>65</w:t>
            </w:r>
          </w:p>
        </w:tc>
      </w:tr>
    </w:tbl>
    <w:p w14:paraId="33D9C63C" w14:textId="77777777" w:rsidR="00A535A8" w:rsidRPr="00553E12" w:rsidRDefault="00A535A8" w:rsidP="000E18CA">
      <w:pPr>
        <w:pStyle w:val="NormalWeb"/>
        <w:spacing w:before="0" w:beforeAutospacing="0" w:after="0" w:afterAutospacing="0"/>
        <w:rPr>
          <w:lang w:val="es-ES"/>
        </w:rPr>
      </w:pPr>
    </w:p>
    <w:p w14:paraId="316AC5E6" w14:textId="77777777" w:rsidR="000A5B71" w:rsidRPr="00553E12" w:rsidRDefault="000A5B71" w:rsidP="000E18CA">
      <w:pPr>
        <w:rPr>
          <w:lang w:val="es-ES"/>
        </w:rPr>
      </w:pPr>
    </w:p>
    <w:p w14:paraId="7C39D0DE" w14:textId="77777777" w:rsidR="00F76F29" w:rsidRPr="00553E12" w:rsidRDefault="00F76F29" w:rsidP="000E18CA">
      <w:pPr>
        <w:pStyle w:val="Standard1"/>
        <w:spacing w:line="360" w:lineRule="auto"/>
        <w:jc w:val="center"/>
        <w:rPr>
          <w:rFonts w:ascii="Arial" w:hAnsi="Arial" w:cs="Arial"/>
          <w:sz w:val="16"/>
          <w:szCs w:val="16"/>
          <w:lang w:val="es-ES"/>
        </w:rPr>
      </w:pPr>
      <w:r w:rsidRPr="00553E12">
        <w:rPr>
          <w:rFonts w:ascii="Arial" w:hAnsi="Arial" w:cs="Arial"/>
          <w:sz w:val="16"/>
          <w:szCs w:val="16"/>
          <w:lang w:val="es-ES"/>
        </w:rPr>
        <w:t>* * *</w:t>
      </w:r>
    </w:p>
    <w:p w14:paraId="6C15C204" w14:textId="77777777" w:rsidR="00D91685" w:rsidRPr="00553E12" w:rsidRDefault="00D91685" w:rsidP="000E18CA">
      <w:pPr>
        <w:pStyle w:val="Standard1"/>
        <w:spacing w:line="360" w:lineRule="auto"/>
        <w:jc w:val="center"/>
        <w:rPr>
          <w:rFonts w:ascii="Arial" w:hAnsi="Arial" w:cs="Arial"/>
          <w:sz w:val="16"/>
          <w:szCs w:val="16"/>
          <w:lang w:val="es-ES"/>
        </w:rPr>
      </w:pPr>
    </w:p>
    <w:p w14:paraId="61F76145" w14:textId="39E0122F" w:rsidR="009D5A39" w:rsidRPr="00553E12" w:rsidRDefault="00553E12" w:rsidP="000E18CA">
      <w:pPr>
        <w:rPr>
          <w:rFonts w:ascii="Aptos" w:eastAsia="Aptos" w:hAnsi="Aptos" w:cs="Aptos"/>
          <w:lang w:val="es-ES"/>
        </w:rPr>
      </w:pPr>
      <w:r w:rsidRPr="00553E12">
        <w:rPr>
          <w:rFonts w:eastAsia="Arial"/>
          <w:b/>
          <w:bCs/>
          <w:sz w:val="18"/>
          <w:szCs w:val="18"/>
          <w:lang w:val="es-ES"/>
        </w:rPr>
        <w:t>Sobre</w:t>
      </w:r>
      <w:r w:rsidR="009D5A39" w:rsidRPr="00553E12">
        <w:rPr>
          <w:rFonts w:eastAsia="Arial"/>
          <w:b/>
          <w:bCs/>
          <w:sz w:val="18"/>
          <w:szCs w:val="18"/>
          <w:lang w:val="es-ES"/>
        </w:rPr>
        <w:t xml:space="preserve"> </w:t>
      </w:r>
      <w:proofErr w:type="spellStart"/>
      <w:r w:rsidR="009D5A39" w:rsidRPr="00553E12">
        <w:rPr>
          <w:rFonts w:eastAsia="Arial"/>
          <w:b/>
          <w:bCs/>
          <w:sz w:val="18"/>
          <w:szCs w:val="18"/>
          <w:lang w:val="es-ES"/>
        </w:rPr>
        <w:t>congatec</w:t>
      </w:r>
      <w:proofErr w:type="spellEnd"/>
      <w:r w:rsidR="009D5A39" w:rsidRPr="00553E12">
        <w:rPr>
          <w:rFonts w:eastAsia="Arial"/>
          <w:sz w:val="18"/>
          <w:szCs w:val="18"/>
          <w:lang w:val="es-ES"/>
        </w:rPr>
        <w:t xml:space="preserve"> </w:t>
      </w:r>
    </w:p>
    <w:p w14:paraId="6A5B7F49" w14:textId="2A0E22F9" w:rsidR="009D5A39" w:rsidRPr="00553E12" w:rsidRDefault="00553E12" w:rsidP="000E18CA">
      <w:pPr>
        <w:rPr>
          <w:rFonts w:eastAsia="Arial"/>
          <w:color w:val="000000" w:themeColor="text1"/>
          <w:sz w:val="18"/>
          <w:szCs w:val="18"/>
          <w:lang w:val="es-ES"/>
        </w:rPr>
      </w:pPr>
      <w:proofErr w:type="spellStart"/>
      <w:r w:rsidRPr="00553E12">
        <w:rPr>
          <w:rFonts w:eastAsia="Arial"/>
          <w:sz w:val="18"/>
          <w:szCs w:val="18"/>
          <w:lang w:val="es-ES"/>
        </w:rPr>
        <w:t>congatec</w:t>
      </w:r>
      <w:proofErr w:type="spellEnd"/>
      <w:r w:rsidRPr="00553E12">
        <w:rPr>
          <w:rFonts w:eastAsia="Arial"/>
          <w:sz w:val="18"/>
          <w:szCs w:val="18"/>
          <w:lang w:val="es-ES"/>
        </w:rPr>
        <w:t xml:space="preserve"> es el proveedor líder mundial de componentes de hardware y software de alto rendimiento para sistemas embebidos y de vanguardia basadas en módulos COM (</w:t>
      </w:r>
      <w:proofErr w:type="spellStart"/>
      <w:r w:rsidRPr="00553E12">
        <w:rPr>
          <w:rFonts w:eastAsia="Arial"/>
          <w:sz w:val="18"/>
          <w:szCs w:val="18"/>
          <w:lang w:val="es-ES"/>
        </w:rPr>
        <w:t>Computer</w:t>
      </w:r>
      <w:proofErr w:type="spellEnd"/>
      <w:r w:rsidRPr="00553E12">
        <w:rPr>
          <w:rFonts w:eastAsia="Arial"/>
          <w:sz w:val="18"/>
          <w:szCs w:val="18"/>
          <w:lang w:val="es-ES"/>
        </w:rPr>
        <w:t>-</w:t>
      </w:r>
      <w:proofErr w:type="spellStart"/>
      <w:r w:rsidRPr="00553E12">
        <w:rPr>
          <w:rFonts w:eastAsia="Arial"/>
          <w:sz w:val="18"/>
          <w:szCs w:val="18"/>
          <w:lang w:val="es-ES"/>
        </w:rPr>
        <w:t>on</w:t>
      </w:r>
      <w:proofErr w:type="spellEnd"/>
      <w:r w:rsidRPr="00553E12">
        <w:rPr>
          <w:rFonts w:eastAsia="Arial"/>
          <w:sz w:val="18"/>
          <w:szCs w:val="18"/>
          <w:lang w:val="es-ES"/>
        </w:rPr>
        <w:t xml:space="preserve">-Modules). Estos módulos avanzados impulsan sistemas y dispositivos en sectores como la automatización industrial, la tecnología médica, la robótica, las telecomunicaciones y muchos más. Los ecosistemas </w:t>
      </w:r>
      <w:proofErr w:type="spellStart"/>
      <w:r w:rsidRPr="00553E12">
        <w:rPr>
          <w:rFonts w:eastAsia="Arial"/>
          <w:sz w:val="18"/>
          <w:szCs w:val="18"/>
          <w:lang w:val="es-ES"/>
        </w:rPr>
        <w:t>aReady</w:t>
      </w:r>
      <w:proofErr w:type="spellEnd"/>
      <w:r w:rsidRPr="00553E12">
        <w:rPr>
          <w:rFonts w:eastAsia="Arial"/>
          <w:sz w:val="18"/>
          <w:szCs w:val="18"/>
          <w:lang w:val="es-ES"/>
        </w:rPr>
        <w:t xml:space="preserve">. de alto rendimiento de </w:t>
      </w:r>
      <w:proofErr w:type="spellStart"/>
      <w:r w:rsidRPr="00553E12">
        <w:rPr>
          <w:rFonts w:eastAsia="Arial"/>
          <w:sz w:val="18"/>
          <w:szCs w:val="18"/>
          <w:lang w:val="es-ES"/>
        </w:rPr>
        <w:t>congatec</w:t>
      </w:r>
      <w:proofErr w:type="spellEnd"/>
      <w:r w:rsidRPr="00553E12">
        <w:rPr>
          <w:rFonts w:eastAsia="Arial"/>
          <w:sz w:val="18"/>
          <w:szCs w:val="18"/>
          <w:lang w:val="es-ES"/>
        </w:rPr>
        <w:t xml:space="preserve"> simplifican y aceleran el desarrollo de soluciones, desde los módulos COM hasta la nube. Este enfoque listo para su aplicación combina los módulos COM con servicios y tecnologías personalizables que permiten avances de vanguardia en la consolidación de sistemas, el </w:t>
      </w:r>
      <w:proofErr w:type="spellStart"/>
      <w:r w:rsidRPr="00553E12">
        <w:rPr>
          <w:rFonts w:eastAsia="Arial"/>
          <w:sz w:val="18"/>
          <w:szCs w:val="18"/>
          <w:lang w:val="es-ES"/>
        </w:rPr>
        <w:t>IoT</w:t>
      </w:r>
      <w:proofErr w:type="spellEnd"/>
      <w:r w:rsidRPr="00553E12">
        <w:rPr>
          <w:rFonts w:eastAsia="Arial"/>
          <w:sz w:val="18"/>
          <w:szCs w:val="18"/>
          <w:lang w:val="es-ES"/>
        </w:rPr>
        <w:t xml:space="preserve">, la seguridad y la inteligencia artificial. Con el apoyo de su accionista mayoritario, DBAG </w:t>
      </w:r>
      <w:proofErr w:type="spellStart"/>
      <w:r w:rsidRPr="00553E12">
        <w:rPr>
          <w:rFonts w:eastAsia="Arial"/>
          <w:sz w:val="18"/>
          <w:szCs w:val="18"/>
          <w:lang w:val="es-ES"/>
        </w:rPr>
        <w:t>Fund</w:t>
      </w:r>
      <w:proofErr w:type="spellEnd"/>
      <w:r w:rsidRPr="00553E12">
        <w:rPr>
          <w:rFonts w:eastAsia="Arial"/>
          <w:sz w:val="18"/>
          <w:szCs w:val="18"/>
          <w:lang w:val="es-ES"/>
        </w:rPr>
        <w:t xml:space="preserve"> VIII, un fondo alemán de mercado medio centrado en impulsar el crecimiento de las empresas industriales, </w:t>
      </w:r>
      <w:proofErr w:type="spellStart"/>
      <w:r w:rsidRPr="00553E12">
        <w:rPr>
          <w:rFonts w:eastAsia="Arial"/>
          <w:sz w:val="18"/>
          <w:szCs w:val="18"/>
          <w:lang w:val="es-ES"/>
        </w:rPr>
        <w:t>congatec</w:t>
      </w:r>
      <w:proofErr w:type="spellEnd"/>
      <w:r w:rsidRPr="00553E12">
        <w:rPr>
          <w:rFonts w:eastAsia="Arial"/>
          <w:sz w:val="18"/>
          <w:szCs w:val="18"/>
          <w:lang w:val="es-ES"/>
        </w:rPr>
        <w:t xml:space="preserve"> cuenta con el respaldo financiero y la experiencia en fusiones y adquisiciones necesarios para aprovechar las oportunidades de expansión del mercado. Para obtener más información, visite </w:t>
      </w:r>
      <w:hyperlink r:id="rId14" w:history="1">
        <w:r w:rsidR="009D5A39" w:rsidRPr="00553E12">
          <w:rPr>
            <w:rStyle w:val="Hipervnculo"/>
            <w:rFonts w:eastAsia="Arial"/>
            <w:sz w:val="18"/>
            <w:szCs w:val="18"/>
            <w:lang w:val="es-ES"/>
          </w:rPr>
          <w:t>congatec.com</w:t>
        </w:r>
      </w:hyperlink>
      <w:r w:rsidR="009D5A39" w:rsidRPr="00553E12">
        <w:rPr>
          <w:rFonts w:eastAsia="Arial"/>
          <w:sz w:val="18"/>
          <w:szCs w:val="18"/>
          <w:lang w:val="es-ES"/>
        </w:rPr>
        <w:t xml:space="preserve">, </w:t>
      </w:r>
      <w:hyperlink r:id="rId15" w:history="1">
        <w:r w:rsidR="009D5A39" w:rsidRPr="00553E12">
          <w:rPr>
            <w:rStyle w:val="Hipervnculo"/>
            <w:rFonts w:eastAsia="Arial"/>
            <w:sz w:val="18"/>
            <w:szCs w:val="18"/>
            <w:lang w:val="es-ES"/>
          </w:rPr>
          <w:t>aReady.com</w:t>
        </w:r>
      </w:hyperlink>
      <w:r w:rsidR="009D5A39" w:rsidRPr="00553E12">
        <w:rPr>
          <w:rFonts w:eastAsia="Arial"/>
          <w:sz w:val="18"/>
          <w:szCs w:val="18"/>
          <w:lang w:val="es-ES"/>
        </w:rPr>
        <w:t xml:space="preserve">, </w:t>
      </w:r>
      <w:r w:rsidRPr="00553E12">
        <w:rPr>
          <w:rFonts w:eastAsia="Arial"/>
          <w:sz w:val="18"/>
          <w:szCs w:val="18"/>
          <w:lang w:val="es-ES"/>
        </w:rPr>
        <w:t>o síganos en</w:t>
      </w:r>
      <w:r w:rsidR="009D5A39" w:rsidRPr="00553E12">
        <w:rPr>
          <w:rFonts w:eastAsia="Arial"/>
          <w:sz w:val="18"/>
          <w:szCs w:val="18"/>
          <w:lang w:val="es-ES"/>
        </w:rPr>
        <w:t xml:space="preserve"> </w:t>
      </w:r>
      <w:hyperlink r:id="rId16">
        <w:r w:rsidR="009D5A39" w:rsidRPr="00553E12">
          <w:rPr>
            <w:rStyle w:val="Hipervnculo"/>
            <w:rFonts w:eastAsia="Arial"/>
            <w:sz w:val="18"/>
            <w:szCs w:val="18"/>
            <w:lang w:val="es-ES"/>
          </w:rPr>
          <w:t>LinkedIn</w:t>
        </w:r>
      </w:hyperlink>
      <w:r w:rsidR="009D5A39" w:rsidRPr="00553E12">
        <w:rPr>
          <w:rFonts w:eastAsia="Arial"/>
          <w:sz w:val="18"/>
          <w:szCs w:val="18"/>
          <w:lang w:val="es-ES"/>
        </w:rPr>
        <w:t xml:space="preserve"> </w:t>
      </w:r>
      <w:r w:rsidRPr="00553E12">
        <w:rPr>
          <w:rFonts w:eastAsia="Arial"/>
          <w:sz w:val="18"/>
          <w:szCs w:val="18"/>
          <w:lang w:val="es-ES"/>
        </w:rPr>
        <w:t>y</w:t>
      </w:r>
      <w:r w:rsidR="009D5A39" w:rsidRPr="00553E12">
        <w:rPr>
          <w:rFonts w:eastAsia="Arial"/>
          <w:sz w:val="18"/>
          <w:szCs w:val="18"/>
          <w:lang w:val="es-ES"/>
        </w:rPr>
        <w:t xml:space="preserve"> </w:t>
      </w:r>
      <w:hyperlink r:id="rId17">
        <w:r w:rsidR="009D5A39" w:rsidRPr="00553E12">
          <w:rPr>
            <w:rStyle w:val="Hipervnculo"/>
            <w:rFonts w:eastAsia="Arial"/>
            <w:sz w:val="18"/>
            <w:szCs w:val="18"/>
            <w:lang w:val="es-ES"/>
          </w:rPr>
          <w:t>YouTube</w:t>
        </w:r>
      </w:hyperlink>
      <w:r w:rsidR="009D5A39" w:rsidRPr="00553E12">
        <w:rPr>
          <w:rFonts w:eastAsia="Arial"/>
          <w:color w:val="000000" w:themeColor="text1"/>
          <w:sz w:val="18"/>
          <w:szCs w:val="18"/>
          <w:lang w:val="es-ES"/>
        </w:rPr>
        <w:t xml:space="preserve">. </w:t>
      </w:r>
    </w:p>
    <w:p w14:paraId="532F10F3" w14:textId="77777777" w:rsidR="009D5A39" w:rsidRPr="00553E12" w:rsidRDefault="009D5A39" w:rsidP="000E18CA">
      <w:pPr>
        <w:spacing w:line="240" w:lineRule="auto"/>
        <w:rPr>
          <w:lang w:val="es-ES"/>
        </w:rPr>
      </w:pPr>
    </w:p>
    <w:p w14:paraId="4FAA16AA" w14:textId="77777777" w:rsidR="009D5A39" w:rsidRDefault="009D5A39" w:rsidP="000E18CA">
      <w:pPr>
        <w:spacing w:line="240" w:lineRule="auto"/>
      </w:pPr>
    </w:p>
    <w:p w14:paraId="20D62C6C" w14:textId="7B80EFE3" w:rsidR="00E74AE5" w:rsidRPr="00752664" w:rsidRDefault="00553E12" w:rsidP="000E18CA">
      <w:pPr>
        <w:pStyle w:val="NormalWeb"/>
        <w:spacing w:before="0" w:beforeAutospacing="0" w:after="0" w:afterAutospacing="0" w:line="240" w:lineRule="auto"/>
        <w:ind w:right="283"/>
        <w:jc w:val="both"/>
        <w:rPr>
          <w:lang w:val="en-GB"/>
        </w:rPr>
      </w:pPr>
      <w:bookmarkStart w:id="0" w:name="_Hlk118996808"/>
      <w:r>
        <w:rPr>
          <w:b/>
          <w:bCs/>
          <w:color w:val="000000"/>
          <w:lang w:val="en-GB"/>
        </w:rPr>
        <w:t xml:space="preserve">Consulta </w:t>
      </w:r>
      <w:proofErr w:type="spellStart"/>
      <w:r>
        <w:rPr>
          <w:b/>
          <w:bCs/>
          <w:color w:val="000000"/>
          <w:lang w:val="en-GB"/>
        </w:rPr>
        <w:t>lectores</w:t>
      </w:r>
      <w:proofErr w:type="spellEnd"/>
      <w:r w:rsidR="00E74AE5" w:rsidRPr="00752664">
        <w:rPr>
          <w:b/>
          <w:bCs/>
          <w:color w:val="000000"/>
          <w:lang w:val="en-GB"/>
        </w:rPr>
        <w:t>:</w:t>
      </w:r>
    </w:p>
    <w:p w14:paraId="5372F317" w14:textId="77777777" w:rsidR="00E74AE5" w:rsidRPr="00752664" w:rsidRDefault="00E74AE5" w:rsidP="000E18CA">
      <w:pPr>
        <w:pStyle w:val="NormalWeb"/>
        <w:spacing w:before="0" w:beforeAutospacing="0" w:after="0" w:afterAutospacing="0" w:line="240" w:lineRule="auto"/>
        <w:ind w:right="283"/>
        <w:jc w:val="both"/>
        <w:rPr>
          <w:lang w:val="en-GB"/>
        </w:rPr>
      </w:pPr>
      <w:proofErr w:type="spellStart"/>
      <w:r w:rsidRPr="00752664">
        <w:rPr>
          <w:color w:val="000000"/>
          <w:lang w:val="en-GB"/>
        </w:rPr>
        <w:t>congatec</w:t>
      </w:r>
      <w:proofErr w:type="spellEnd"/>
    </w:p>
    <w:p w14:paraId="7BE49A9C" w14:textId="77777777" w:rsidR="00E74AE5" w:rsidRPr="00752664" w:rsidRDefault="00E74AE5" w:rsidP="000E18CA">
      <w:pPr>
        <w:pStyle w:val="NormalWeb"/>
        <w:spacing w:before="0" w:beforeAutospacing="0" w:after="0" w:afterAutospacing="0" w:line="240" w:lineRule="auto"/>
        <w:ind w:right="283"/>
        <w:jc w:val="both"/>
        <w:rPr>
          <w:lang w:val="en-GB"/>
        </w:rPr>
      </w:pPr>
      <w:r w:rsidRPr="00752664">
        <w:rPr>
          <w:color w:val="000000"/>
          <w:lang w:val="en-GB"/>
        </w:rPr>
        <w:t>Phone: +49-991-2700-0</w:t>
      </w:r>
    </w:p>
    <w:p w14:paraId="0C0C4A09" w14:textId="77777777" w:rsidR="00E74AE5" w:rsidRPr="00752664" w:rsidRDefault="00E74AE5" w:rsidP="000E18CA">
      <w:pPr>
        <w:pStyle w:val="NormalWeb"/>
        <w:spacing w:before="0" w:beforeAutospacing="0" w:after="0" w:afterAutospacing="0" w:line="240" w:lineRule="auto"/>
        <w:rPr>
          <w:lang w:val="en-GB"/>
        </w:rPr>
      </w:pPr>
      <w:r w:rsidRPr="00752664">
        <w:rPr>
          <w:color w:val="0000FF"/>
          <w:u w:val="single"/>
          <w:lang w:val="en-GB"/>
        </w:rPr>
        <w:t>info@congatec.com </w:t>
      </w:r>
    </w:p>
    <w:p w14:paraId="4E80FC62" w14:textId="77777777" w:rsidR="00E74AE5" w:rsidRPr="00752664" w:rsidRDefault="00E74AE5" w:rsidP="000E18CA">
      <w:pPr>
        <w:pStyle w:val="NormalWeb"/>
        <w:spacing w:before="0" w:beforeAutospacing="0" w:after="0" w:afterAutospacing="0" w:line="240" w:lineRule="auto"/>
        <w:ind w:right="283"/>
        <w:jc w:val="both"/>
        <w:rPr>
          <w:lang w:val="en-GB"/>
        </w:rPr>
      </w:pPr>
      <w:hyperlink r:id="rId18" w:history="1">
        <w:r w:rsidRPr="00752664">
          <w:rPr>
            <w:rStyle w:val="Hipervnculo"/>
            <w:lang w:val="en-GB"/>
          </w:rPr>
          <w:t>www.congatec.com</w:t>
        </w:r>
      </w:hyperlink>
    </w:p>
    <w:p w14:paraId="455F0F85" w14:textId="77777777" w:rsidR="00E74AE5" w:rsidRPr="00752664" w:rsidRDefault="00E74AE5" w:rsidP="000E18CA">
      <w:pPr>
        <w:spacing w:line="240" w:lineRule="auto"/>
        <w:rPr>
          <w:lang w:val="en-GB"/>
        </w:rPr>
      </w:pPr>
    </w:p>
    <w:p w14:paraId="6AE34BF0" w14:textId="561DFBBA" w:rsidR="00E74AE5" w:rsidRPr="00752664" w:rsidRDefault="00553E12" w:rsidP="000E18CA">
      <w:pPr>
        <w:pStyle w:val="NormalWeb"/>
        <w:spacing w:before="0" w:beforeAutospacing="0" w:after="0" w:afterAutospacing="0" w:line="240" w:lineRule="auto"/>
        <w:ind w:right="283"/>
        <w:jc w:val="both"/>
        <w:rPr>
          <w:lang w:val="en-GB"/>
        </w:rPr>
      </w:pPr>
      <w:r>
        <w:rPr>
          <w:b/>
          <w:bCs/>
          <w:color w:val="000000"/>
          <w:lang w:val="en-GB"/>
        </w:rPr>
        <w:t xml:space="preserve">Contacto de </w:t>
      </w:r>
      <w:proofErr w:type="spellStart"/>
      <w:r>
        <w:rPr>
          <w:b/>
          <w:bCs/>
          <w:color w:val="000000"/>
          <w:lang w:val="en-GB"/>
        </w:rPr>
        <w:t>prensa</w:t>
      </w:r>
      <w:proofErr w:type="spellEnd"/>
      <w:r>
        <w:rPr>
          <w:b/>
          <w:bCs/>
          <w:color w:val="000000"/>
          <w:lang w:val="en-GB"/>
        </w:rPr>
        <w:t xml:space="preserve"> </w:t>
      </w:r>
      <w:proofErr w:type="spellStart"/>
      <w:r>
        <w:rPr>
          <w:b/>
          <w:bCs/>
          <w:color w:val="000000"/>
          <w:lang w:val="en-GB"/>
        </w:rPr>
        <w:t>congatec</w:t>
      </w:r>
      <w:proofErr w:type="spellEnd"/>
      <w:r w:rsidR="00E74AE5" w:rsidRPr="00752664">
        <w:rPr>
          <w:b/>
          <w:bCs/>
          <w:color w:val="000000"/>
          <w:lang w:val="en-GB"/>
        </w:rPr>
        <w:t>:</w:t>
      </w:r>
    </w:p>
    <w:p w14:paraId="2CE5223C" w14:textId="77777777" w:rsidR="00E74AE5" w:rsidRPr="00752664" w:rsidRDefault="00E74AE5" w:rsidP="000E18CA">
      <w:pPr>
        <w:pStyle w:val="NormalWeb"/>
        <w:spacing w:before="0" w:beforeAutospacing="0" w:after="0" w:afterAutospacing="0" w:line="240" w:lineRule="auto"/>
        <w:ind w:right="283"/>
        <w:jc w:val="both"/>
        <w:rPr>
          <w:lang w:val="en-GB"/>
        </w:rPr>
      </w:pPr>
      <w:proofErr w:type="spellStart"/>
      <w:r w:rsidRPr="00752664">
        <w:rPr>
          <w:color w:val="000000"/>
          <w:lang w:val="en-GB"/>
        </w:rPr>
        <w:t>congatec</w:t>
      </w:r>
      <w:proofErr w:type="spellEnd"/>
    </w:p>
    <w:p w14:paraId="6D5F2EF0" w14:textId="77777777" w:rsidR="00E74AE5" w:rsidRPr="00752664" w:rsidRDefault="00E74AE5" w:rsidP="000E18CA">
      <w:pPr>
        <w:pStyle w:val="NormalWeb"/>
        <w:spacing w:before="0" w:beforeAutospacing="0" w:after="0" w:afterAutospacing="0" w:line="240" w:lineRule="auto"/>
        <w:ind w:right="283"/>
        <w:jc w:val="both"/>
        <w:rPr>
          <w:lang w:val="en-GB"/>
        </w:rPr>
      </w:pPr>
      <w:r w:rsidRPr="00752664">
        <w:rPr>
          <w:color w:val="000000"/>
          <w:lang w:val="en-GB"/>
        </w:rPr>
        <w:t>Christof Wilde</w:t>
      </w:r>
    </w:p>
    <w:p w14:paraId="7798908A" w14:textId="77777777" w:rsidR="00E74AE5" w:rsidRPr="00752664" w:rsidRDefault="00E74AE5" w:rsidP="000E18CA">
      <w:pPr>
        <w:pStyle w:val="NormalWeb"/>
        <w:spacing w:before="0" w:beforeAutospacing="0" w:after="0" w:afterAutospacing="0" w:line="240" w:lineRule="auto"/>
        <w:ind w:right="283"/>
        <w:jc w:val="both"/>
        <w:rPr>
          <w:lang w:val="en-GB"/>
        </w:rPr>
      </w:pPr>
      <w:r w:rsidRPr="00752664">
        <w:rPr>
          <w:color w:val="000000"/>
          <w:lang w:val="en-GB"/>
        </w:rPr>
        <w:t>Phone:  +49-991-2700-2822</w:t>
      </w:r>
    </w:p>
    <w:p w14:paraId="32EDF8F1" w14:textId="77777777" w:rsidR="00E74AE5" w:rsidRPr="00752664" w:rsidRDefault="00E74AE5" w:rsidP="000E18CA">
      <w:pPr>
        <w:pStyle w:val="NormalWeb"/>
        <w:spacing w:before="0" w:beforeAutospacing="0" w:after="0" w:afterAutospacing="0" w:line="240" w:lineRule="auto"/>
        <w:ind w:right="283"/>
        <w:jc w:val="both"/>
        <w:rPr>
          <w:lang w:val="en-GB"/>
        </w:rPr>
      </w:pPr>
      <w:r w:rsidRPr="00752664">
        <w:rPr>
          <w:color w:val="0000FF"/>
          <w:u w:val="single"/>
          <w:lang w:val="en-GB"/>
        </w:rPr>
        <w:t>christof.wilde@congatec.com</w:t>
      </w:r>
    </w:p>
    <w:bookmarkEnd w:id="0"/>
    <w:p w14:paraId="26FF7293" w14:textId="3B755F4F" w:rsidR="009D5A39" w:rsidRPr="000A5690" w:rsidRDefault="009D5A39" w:rsidP="000E18CA">
      <w:pPr>
        <w:spacing w:line="240" w:lineRule="auto"/>
        <w:rPr>
          <w:rStyle w:val="Hipervnculo"/>
          <w:rFonts w:eastAsiaTheme="majorEastAsia"/>
        </w:rPr>
      </w:pPr>
    </w:p>
    <w:sectPr w:rsidR="009D5A39" w:rsidRPr="000A5690"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71B7" w14:textId="77777777" w:rsidR="00971AFB" w:rsidRDefault="00971AFB" w:rsidP="004E283C">
      <w:r>
        <w:separator/>
      </w:r>
    </w:p>
  </w:endnote>
  <w:endnote w:type="continuationSeparator" w:id="0">
    <w:p w14:paraId="46687B6C" w14:textId="77777777" w:rsidR="00971AFB" w:rsidRDefault="00971AFB" w:rsidP="004E283C">
      <w:r>
        <w:continuationSeparator/>
      </w:r>
    </w:p>
  </w:endnote>
  <w:endnote w:type="continuationNotice" w:id="1">
    <w:p w14:paraId="722E7511" w14:textId="77777777" w:rsidR="00971AFB" w:rsidRDefault="00971A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6DF0" w14:textId="77777777" w:rsidR="00971AFB" w:rsidRDefault="00971AFB" w:rsidP="004E283C">
      <w:r>
        <w:separator/>
      </w:r>
    </w:p>
  </w:footnote>
  <w:footnote w:type="continuationSeparator" w:id="0">
    <w:p w14:paraId="7EEBF98F" w14:textId="77777777" w:rsidR="00971AFB" w:rsidRDefault="00971AFB" w:rsidP="004E283C">
      <w:r>
        <w:continuationSeparator/>
      </w:r>
    </w:p>
  </w:footnote>
  <w:footnote w:type="continuationNotice" w:id="1">
    <w:p w14:paraId="38435E12" w14:textId="77777777" w:rsidR="00971AFB" w:rsidRDefault="00971A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2338"/>
    <w:rsid w:val="000350F4"/>
    <w:rsid w:val="000355AD"/>
    <w:rsid w:val="00035738"/>
    <w:rsid w:val="000373D1"/>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6758"/>
    <w:rsid w:val="0009734E"/>
    <w:rsid w:val="000A1392"/>
    <w:rsid w:val="000A30F4"/>
    <w:rsid w:val="000A394C"/>
    <w:rsid w:val="000A4662"/>
    <w:rsid w:val="000A4B1D"/>
    <w:rsid w:val="000A5B71"/>
    <w:rsid w:val="000A7084"/>
    <w:rsid w:val="000B53F9"/>
    <w:rsid w:val="000B56DE"/>
    <w:rsid w:val="000B6F0B"/>
    <w:rsid w:val="000C0962"/>
    <w:rsid w:val="000C5D96"/>
    <w:rsid w:val="000D224F"/>
    <w:rsid w:val="000D39E1"/>
    <w:rsid w:val="000D66D4"/>
    <w:rsid w:val="000D68BA"/>
    <w:rsid w:val="000E18CA"/>
    <w:rsid w:val="000E2307"/>
    <w:rsid w:val="000E395C"/>
    <w:rsid w:val="000E736A"/>
    <w:rsid w:val="000F15EB"/>
    <w:rsid w:val="000F34E8"/>
    <w:rsid w:val="00100CE2"/>
    <w:rsid w:val="00101DF6"/>
    <w:rsid w:val="00105BFE"/>
    <w:rsid w:val="00106F93"/>
    <w:rsid w:val="0011134D"/>
    <w:rsid w:val="00116A62"/>
    <w:rsid w:val="00123D77"/>
    <w:rsid w:val="00127761"/>
    <w:rsid w:val="00127DA1"/>
    <w:rsid w:val="00132DD8"/>
    <w:rsid w:val="00135EBC"/>
    <w:rsid w:val="00136787"/>
    <w:rsid w:val="00136E20"/>
    <w:rsid w:val="00137FB6"/>
    <w:rsid w:val="0014653E"/>
    <w:rsid w:val="0014730F"/>
    <w:rsid w:val="00157343"/>
    <w:rsid w:val="001741F9"/>
    <w:rsid w:val="00175EB3"/>
    <w:rsid w:val="00181222"/>
    <w:rsid w:val="00184D6F"/>
    <w:rsid w:val="001854B5"/>
    <w:rsid w:val="00187AFE"/>
    <w:rsid w:val="00190A0D"/>
    <w:rsid w:val="00191804"/>
    <w:rsid w:val="00191F41"/>
    <w:rsid w:val="001957E7"/>
    <w:rsid w:val="001A1ABC"/>
    <w:rsid w:val="001A277C"/>
    <w:rsid w:val="001A370C"/>
    <w:rsid w:val="001A594E"/>
    <w:rsid w:val="001B0700"/>
    <w:rsid w:val="001B6B34"/>
    <w:rsid w:val="001C0038"/>
    <w:rsid w:val="001C50C3"/>
    <w:rsid w:val="001D055C"/>
    <w:rsid w:val="001E05DF"/>
    <w:rsid w:val="001E2E5F"/>
    <w:rsid w:val="001E3D01"/>
    <w:rsid w:val="001E4FB1"/>
    <w:rsid w:val="001E7371"/>
    <w:rsid w:val="001F7DA7"/>
    <w:rsid w:val="002065F2"/>
    <w:rsid w:val="00212286"/>
    <w:rsid w:val="00223722"/>
    <w:rsid w:val="002248FF"/>
    <w:rsid w:val="00225147"/>
    <w:rsid w:val="00231F74"/>
    <w:rsid w:val="002368AC"/>
    <w:rsid w:val="002376DB"/>
    <w:rsid w:val="0024320A"/>
    <w:rsid w:val="00254FF0"/>
    <w:rsid w:val="0025509C"/>
    <w:rsid w:val="002571A3"/>
    <w:rsid w:val="0025796B"/>
    <w:rsid w:val="00265C83"/>
    <w:rsid w:val="00266958"/>
    <w:rsid w:val="00267709"/>
    <w:rsid w:val="00272EF9"/>
    <w:rsid w:val="00280BB9"/>
    <w:rsid w:val="00286CC1"/>
    <w:rsid w:val="002872D2"/>
    <w:rsid w:val="00292D50"/>
    <w:rsid w:val="0029581C"/>
    <w:rsid w:val="0029792A"/>
    <w:rsid w:val="00297A5C"/>
    <w:rsid w:val="002A1662"/>
    <w:rsid w:val="002A4CF3"/>
    <w:rsid w:val="002A7A02"/>
    <w:rsid w:val="002B14DE"/>
    <w:rsid w:val="002B4B21"/>
    <w:rsid w:val="002B5DD9"/>
    <w:rsid w:val="002C14C0"/>
    <w:rsid w:val="002C28DA"/>
    <w:rsid w:val="002C6553"/>
    <w:rsid w:val="002C6A1D"/>
    <w:rsid w:val="002D3F17"/>
    <w:rsid w:val="002D4B65"/>
    <w:rsid w:val="002D56A3"/>
    <w:rsid w:val="002E333A"/>
    <w:rsid w:val="002E4C8E"/>
    <w:rsid w:val="002E6F17"/>
    <w:rsid w:val="002E73C3"/>
    <w:rsid w:val="002F035E"/>
    <w:rsid w:val="002F04C0"/>
    <w:rsid w:val="002F066A"/>
    <w:rsid w:val="002F16A9"/>
    <w:rsid w:val="002F1A60"/>
    <w:rsid w:val="002F2955"/>
    <w:rsid w:val="002F6466"/>
    <w:rsid w:val="00300096"/>
    <w:rsid w:val="00300A4C"/>
    <w:rsid w:val="0030687E"/>
    <w:rsid w:val="0031068D"/>
    <w:rsid w:val="00311214"/>
    <w:rsid w:val="00316678"/>
    <w:rsid w:val="0031667C"/>
    <w:rsid w:val="00331264"/>
    <w:rsid w:val="0033387F"/>
    <w:rsid w:val="00333EB3"/>
    <w:rsid w:val="00334450"/>
    <w:rsid w:val="0033610A"/>
    <w:rsid w:val="00336657"/>
    <w:rsid w:val="00337403"/>
    <w:rsid w:val="00337468"/>
    <w:rsid w:val="0034162E"/>
    <w:rsid w:val="0034266E"/>
    <w:rsid w:val="00342785"/>
    <w:rsid w:val="0035186F"/>
    <w:rsid w:val="00353C44"/>
    <w:rsid w:val="00353E12"/>
    <w:rsid w:val="0035632F"/>
    <w:rsid w:val="00360338"/>
    <w:rsid w:val="00361541"/>
    <w:rsid w:val="003674FC"/>
    <w:rsid w:val="00367C87"/>
    <w:rsid w:val="00371CDB"/>
    <w:rsid w:val="00380C8F"/>
    <w:rsid w:val="00381183"/>
    <w:rsid w:val="003839C2"/>
    <w:rsid w:val="0038418B"/>
    <w:rsid w:val="003853EC"/>
    <w:rsid w:val="00385A11"/>
    <w:rsid w:val="00386E85"/>
    <w:rsid w:val="00394EEA"/>
    <w:rsid w:val="00397797"/>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E757E"/>
    <w:rsid w:val="003F2876"/>
    <w:rsid w:val="003F3269"/>
    <w:rsid w:val="003F62FC"/>
    <w:rsid w:val="004012B4"/>
    <w:rsid w:val="00411346"/>
    <w:rsid w:val="00413FB9"/>
    <w:rsid w:val="00416562"/>
    <w:rsid w:val="00431604"/>
    <w:rsid w:val="00431712"/>
    <w:rsid w:val="00431F25"/>
    <w:rsid w:val="00443C7F"/>
    <w:rsid w:val="00446472"/>
    <w:rsid w:val="00450802"/>
    <w:rsid w:val="00450C5C"/>
    <w:rsid w:val="0045119F"/>
    <w:rsid w:val="00451C75"/>
    <w:rsid w:val="00451E34"/>
    <w:rsid w:val="0046052F"/>
    <w:rsid w:val="00462316"/>
    <w:rsid w:val="00466A57"/>
    <w:rsid w:val="004730C5"/>
    <w:rsid w:val="00475771"/>
    <w:rsid w:val="00476500"/>
    <w:rsid w:val="00480CD4"/>
    <w:rsid w:val="004841F7"/>
    <w:rsid w:val="0048544A"/>
    <w:rsid w:val="00490E6A"/>
    <w:rsid w:val="004930EB"/>
    <w:rsid w:val="00493F30"/>
    <w:rsid w:val="00495092"/>
    <w:rsid w:val="00497EB5"/>
    <w:rsid w:val="004A2EEC"/>
    <w:rsid w:val="004A6525"/>
    <w:rsid w:val="004B0E7E"/>
    <w:rsid w:val="004B1541"/>
    <w:rsid w:val="004B35A4"/>
    <w:rsid w:val="004B4B85"/>
    <w:rsid w:val="004C4128"/>
    <w:rsid w:val="004D2177"/>
    <w:rsid w:val="004D3BA0"/>
    <w:rsid w:val="004D7B33"/>
    <w:rsid w:val="004D7F6A"/>
    <w:rsid w:val="004E283C"/>
    <w:rsid w:val="004F08CB"/>
    <w:rsid w:val="004F16B7"/>
    <w:rsid w:val="00500D4B"/>
    <w:rsid w:val="00507107"/>
    <w:rsid w:val="00513692"/>
    <w:rsid w:val="005168E6"/>
    <w:rsid w:val="00527922"/>
    <w:rsid w:val="005368EB"/>
    <w:rsid w:val="00541D85"/>
    <w:rsid w:val="005502A5"/>
    <w:rsid w:val="0055046D"/>
    <w:rsid w:val="0055155D"/>
    <w:rsid w:val="00553E12"/>
    <w:rsid w:val="005554CF"/>
    <w:rsid w:val="0055706B"/>
    <w:rsid w:val="00562DE3"/>
    <w:rsid w:val="005674E1"/>
    <w:rsid w:val="00570E32"/>
    <w:rsid w:val="00573859"/>
    <w:rsid w:val="0058053F"/>
    <w:rsid w:val="00583752"/>
    <w:rsid w:val="005876A1"/>
    <w:rsid w:val="005905AA"/>
    <w:rsid w:val="005A656D"/>
    <w:rsid w:val="005B031E"/>
    <w:rsid w:val="005B049C"/>
    <w:rsid w:val="005B4653"/>
    <w:rsid w:val="005C00EA"/>
    <w:rsid w:val="005C35E2"/>
    <w:rsid w:val="005C585A"/>
    <w:rsid w:val="005C63F6"/>
    <w:rsid w:val="005C6F13"/>
    <w:rsid w:val="005D2D52"/>
    <w:rsid w:val="005D4E5B"/>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3035"/>
    <w:rsid w:val="00635478"/>
    <w:rsid w:val="00640D57"/>
    <w:rsid w:val="00640FFB"/>
    <w:rsid w:val="00643A33"/>
    <w:rsid w:val="0064417B"/>
    <w:rsid w:val="00650D54"/>
    <w:rsid w:val="00653613"/>
    <w:rsid w:val="006578A1"/>
    <w:rsid w:val="0066189A"/>
    <w:rsid w:val="00662AB5"/>
    <w:rsid w:val="00664028"/>
    <w:rsid w:val="00667B3E"/>
    <w:rsid w:val="0067240C"/>
    <w:rsid w:val="00673527"/>
    <w:rsid w:val="006842A2"/>
    <w:rsid w:val="00684BBC"/>
    <w:rsid w:val="00690ECD"/>
    <w:rsid w:val="00691EB9"/>
    <w:rsid w:val="0069359A"/>
    <w:rsid w:val="006A1238"/>
    <w:rsid w:val="006A1254"/>
    <w:rsid w:val="006A3CB0"/>
    <w:rsid w:val="006A6542"/>
    <w:rsid w:val="006B0EE9"/>
    <w:rsid w:val="006C3B8A"/>
    <w:rsid w:val="006C45B4"/>
    <w:rsid w:val="006D162D"/>
    <w:rsid w:val="006D5908"/>
    <w:rsid w:val="006E1208"/>
    <w:rsid w:val="006E3A49"/>
    <w:rsid w:val="006E3B67"/>
    <w:rsid w:val="006E4456"/>
    <w:rsid w:val="006E78FC"/>
    <w:rsid w:val="006E7CDD"/>
    <w:rsid w:val="006F2F40"/>
    <w:rsid w:val="006F3337"/>
    <w:rsid w:val="006F35F5"/>
    <w:rsid w:val="006F44E9"/>
    <w:rsid w:val="006F6952"/>
    <w:rsid w:val="006F7509"/>
    <w:rsid w:val="00702EC6"/>
    <w:rsid w:val="00703F23"/>
    <w:rsid w:val="00704670"/>
    <w:rsid w:val="00704C53"/>
    <w:rsid w:val="007055BE"/>
    <w:rsid w:val="00706359"/>
    <w:rsid w:val="00706CDC"/>
    <w:rsid w:val="007074D1"/>
    <w:rsid w:val="00716A15"/>
    <w:rsid w:val="0072445C"/>
    <w:rsid w:val="0072496B"/>
    <w:rsid w:val="00730753"/>
    <w:rsid w:val="007347A1"/>
    <w:rsid w:val="00735FC8"/>
    <w:rsid w:val="007372D4"/>
    <w:rsid w:val="00740CE2"/>
    <w:rsid w:val="00745D08"/>
    <w:rsid w:val="00745E4D"/>
    <w:rsid w:val="00747135"/>
    <w:rsid w:val="00747A2A"/>
    <w:rsid w:val="00751A5C"/>
    <w:rsid w:val="007527B5"/>
    <w:rsid w:val="00763D03"/>
    <w:rsid w:val="00765372"/>
    <w:rsid w:val="00765B08"/>
    <w:rsid w:val="00767A44"/>
    <w:rsid w:val="00771AFC"/>
    <w:rsid w:val="00771EDD"/>
    <w:rsid w:val="007735F0"/>
    <w:rsid w:val="0077601C"/>
    <w:rsid w:val="00776AE3"/>
    <w:rsid w:val="00784949"/>
    <w:rsid w:val="00786EF8"/>
    <w:rsid w:val="0078770A"/>
    <w:rsid w:val="007923DD"/>
    <w:rsid w:val="0079344C"/>
    <w:rsid w:val="00795F3E"/>
    <w:rsid w:val="00796054"/>
    <w:rsid w:val="00796459"/>
    <w:rsid w:val="007A073A"/>
    <w:rsid w:val="007A1EAB"/>
    <w:rsid w:val="007A2866"/>
    <w:rsid w:val="007A3A88"/>
    <w:rsid w:val="007B3E5E"/>
    <w:rsid w:val="007B4609"/>
    <w:rsid w:val="007B794A"/>
    <w:rsid w:val="007C158F"/>
    <w:rsid w:val="007C17EE"/>
    <w:rsid w:val="007C4039"/>
    <w:rsid w:val="007C46E3"/>
    <w:rsid w:val="007C5914"/>
    <w:rsid w:val="007D1C15"/>
    <w:rsid w:val="007E0AEB"/>
    <w:rsid w:val="007E5156"/>
    <w:rsid w:val="007E752C"/>
    <w:rsid w:val="007F15A1"/>
    <w:rsid w:val="007F3D6F"/>
    <w:rsid w:val="00800B73"/>
    <w:rsid w:val="008014CA"/>
    <w:rsid w:val="008021E1"/>
    <w:rsid w:val="00802982"/>
    <w:rsid w:val="0080538D"/>
    <w:rsid w:val="00810AD6"/>
    <w:rsid w:val="008119CB"/>
    <w:rsid w:val="00811DF5"/>
    <w:rsid w:val="00812EAC"/>
    <w:rsid w:val="00813BC0"/>
    <w:rsid w:val="00815A0F"/>
    <w:rsid w:val="0082049A"/>
    <w:rsid w:val="0082293F"/>
    <w:rsid w:val="00827183"/>
    <w:rsid w:val="00832012"/>
    <w:rsid w:val="008326A9"/>
    <w:rsid w:val="0083578B"/>
    <w:rsid w:val="00835D8A"/>
    <w:rsid w:val="008417D5"/>
    <w:rsid w:val="00841B78"/>
    <w:rsid w:val="00842166"/>
    <w:rsid w:val="00843FE7"/>
    <w:rsid w:val="008450D9"/>
    <w:rsid w:val="00846053"/>
    <w:rsid w:val="00846888"/>
    <w:rsid w:val="00847678"/>
    <w:rsid w:val="00853641"/>
    <w:rsid w:val="00855286"/>
    <w:rsid w:val="008718AE"/>
    <w:rsid w:val="00877349"/>
    <w:rsid w:val="00881537"/>
    <w:rsid w:val="00881673"/>
    <w:rsid w:val="00881B43"/>
    <w:rsid w:val="0088225E"/>
    <w:rsid w:val="00884523"/>
    <w:rsid w:val="008851D2"/>
    <w:rsid w:val="00886219"/>
    <w:rsid w:val="00892F20"/>
    <w:rsid w:val="00896530"/>
    <w:rsid w:val="00897D1F"/>
    <w:rsid w:val="008A3AC6"/>
    <w:rsid w:val="008A6FAD"/>
    <w:rsid w:val="008B4A04"/>
    <w:rsid w:val="008B58DB"/>
    <w:rsid w:val="008C012F"/>
    <w:rsid w:val="008C136D"/>
    <w:rsid w:val="008D24CD"/>
    <w:rsid w:val="008E5038"/>
    <w:rsid w:val="008E5A1D"/>
    <w:rsid w:val="008F0184"/>
    <w:rsid w:val="008F54B5"/>
    <w:rsid w:val="008F70A2"/>
    <w:rsid w:val="009055B3"/>
    <w:rsid w:val="00911950"/>
    <w:rsid w:val="00915B34"/>
    <w:rsid w:val="009177FC"/>
    <w:rsid w:val="00917ECC"/>
    <w:rsid w:val="00920686"/>
    <w:rsid w:val="009269F9"/>
    <w:rsid w:val="009310CF"/>
    <w:rsid w:val="009310D6"/>
    <w:rsid w:val="009335F3"/>
    <w:rsid w:val="009348CC"/>
    <w:rsid w:val="009366AB"/>
    <w:rsid w:val="00942ADF"/>
    <w:rsid w:val="00943C17"/>
    <w:rsid w:val="00945580"/>
    <w:rsid w:val="00946819"/>
    <w:rsid w:val="00946FDE"/>
    <w:rsid w:val="00947D1B"/>
    <w:rsid w:val="009507AA"/>
    <w:rsid w:val="0095258C"/>
    <w:rsid w:val="00955E11"/>
    <w:rsid w:val="00956254"/>
    <w:rsid w:val="00957615"/>
    <w:rsid w:val="00957EBF"/>
    <w:rsid w:val="00961278"/>
    <w:rsid w:val="009632B1"/>
    <w:rsid w:val="009651A1"/>
    <w:rsid w:val="009702BE"/>
    <w:rsid w:val="0097120A"/>
    <w:rsid w:val="00971AFB"/>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5657"/>
    <w:rsid w:val="009A6289"/>
    <w:rsid w:val="009B280B"/>
    <w:rsid w:val="009B4B6B"/>
    <w:rsid w:val="009B64DD"/>
    <w:rsid w:val="009B6E8A"/>
    <w:rsid w:val="009C08A6"/>
    <w:rsid w:val="009C1B90"/>
    <w:rsid w:val="009C2318"/>
    <w:rsid w:val="009C2C99"/>
    <w:rsid w:val="009C65B6"/>
    <w:rsid w:val="009C67E6"/>
    <w:rsid w:val="009C76DA"/>
    <w:rsid w:val="009D595E"/>
    <w:rsid w:val="009D5A39"/>
    <w:rsid w:val="009E3A63"/>
    <w:rsid w:val="009E473A"/>
    <w:rsid w:val="009E5E22"/>
    <w:rsid w:val="009F1BCA"/>
    <w:rsid w:val="009F1E40"/>
    <w:rsid w:val="009F4667"/>
    <w:rsid w:val="009F5C8A"/>
    <w:rsid w:val="00A11FF4"/>
    <w:rsid w:val="00A12150"/>
    <w:rsid w:val="00A12F2D"/>
    <w:rsid w:val="00A171BD"/>
    <w:rsid w:val="00A17DAF"/>
    <w:rsid w:val="00A31844"/>
    <w:rsid w:val="00A31EE8"/>
    <w:rsid w:val="00A342D1"/>
    <w:rsid w:val="00A35059"/>
    <w:rsid w:val="00A44F2E"/>
    <w:rsid w:val="00A4732D"/>
    <w:rsid w:val="00A535A8"/>
    <w:rsid w:val="00A54FB5"/>
    <w:rsid w:val="00A61518"/>
    <w:rsid w:val="00A634ED"/>
    <w:rsid w:val="00A67A16"/>
    <w:rsid w:val="00A7739D"/>
    <w:rsid w:val="00A8157E"/>
    <w:rsid w:val="00A849C7"/>
    <w:rsid w:val="00A863AE"/>
    <w:rsid w:val="00A8707E"/>
    <w:rsid w:val="00A906AA"/>
    <w:rsid w:val="00A90AE1"/>
    <w:rsid w:val="00A91859"/>
    <w:rsid w:val="00A934A2"/>
    <w:rsid w:val="00AA5C4C"/>
    <w:rsid w:val="00AB2B04"/>
    <w:rsid w:val="00AB3308"/>
    <w:rsid w:val="00AB6EDF"/>
    <w:rsid w:val="00AB7EEA"/>
    <w:rsid w:val="00AC51C2"/>
    <w:rsid w:val="00AC5247"/>
    <w:rsid w:val="00AD2B3D"/>
    <w:rsid w:val="00AD560F"/>
    <w:rsid w:val="00AD6B52"/>
    <w:rsid w:val="00AE6368"/>
    <w:rsid w:val="00AF60DB"/>
    <w:rsid w:val="00AF69C5"/>
    <w:rsid w:val="00B000CE"/>
    <w:rsid w:val="00B0389C"/>
    <w:rsid w:val="00B03BD5"/>
    <w:rsid w:val="00B04949"/>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14FC"/>
    <w:rsid w:val="00B845D4"/>
    <w:rsid w:val="00B857AE"/>
    <w:rsid w:val="00B86632"/>
    <w:rsid w:val="00B86D2C"/>
    <w:rsid w:val="00B8731A"/>
    <w:rsid w:val="00B874A2"/>
    <w:rsid w:val="00B92EAF"/>
    <w:rsid w:val="00B93BA5"/>
    <w:rsid w:val="00B94688"/>
    <w:rsid w:val="00B95301"/>
    <w:rsid w:val="00B96ED0"/>
    <w:rsid w:val="00B96FE3"/>
    <w:rsid w:val="00BA1458"/>
    <w:rsid w:val="00BA1CB0"/>
    <w:rsid w:val="00BA3443"/>
    <w:rsid w:val="00BA5EC5"/>
    <w:rsid w:val="00BA651B"/>
    <w:rsid w:val="00BB3BA7"/>
    <w:rsid w:val="00BD26D1"/>
    <w:rsid w:val="00BD4A92"/>
    <w:rsid w:val="00BE2E00"/>
    <w:rsid w:val="00BE6A4C"/>
    <w:rsid w:val="00BF474F"/>
    <w:rsid w:val="00C0537F"/>
    <w:rsid w:val="00C07938"/>
    <w:rsid w:val="00C1056E"/>
    <w:rsid w:val="00C1254F"/>
    <w:rsid w:val="00C178C8"/>
    <w:rsid w:val="00C250F4"/>
    <w:rsid w:val="00C25E9F"/>
    <w:rsid w:val="00C36317"/>
    <w:rsid w:val="00C37A2F"/>
    <w:rsid w:val="00C42100"/>
    <w:rsid w:val="00C473C9"/>
    <w:rsid w:val="00C51840"/>
    <w:rsid w:val="00C64E8B"/>
    <w:rsid w:val="00C67E97"/>
    <w:rsid w:val="00C72947"/>
    <w:rsid w:val="00C80E04"/>
    <w:rsid w:val="00C829BC"/>
    <w:rsid w:val="00C83D12"/>
    <w:rsid w:val="00C87AB3"/>
    <w:rsid w:val="00C958C5"/>
    <w:rsid w:val="00C9595F"/>
    <w:rsid w:val="00C96211"/>
    <w:rsid w:val="00C96F92"/>
    <w:rsid w:val="00CA0D75"/>
    <w:rsid w:val="00CA4602"/>
    <w:rsid w:val="00CA5BBA"/>
    <w:rsid w:val="00CB3F57"/>
    <w:rsid w:val="00CB4A50"/>
    <w:rsid w:val="00CB4D4E"/>
    <w:rsid w:val="00CC137C"/>
    <w:rsid w:val="00CC2CB0"/>
    <w:rsid w:val="00CC5773"/>
    <w:rsid w:val="00CD19EC"/>
    <w:rsid w:val="00CD3B59"/>
    <w:rsid w:val="00CD6592"/>
    <w:rsid w:val="00CD7B60"/>
    <w:rsid w:val="00CE2C7F"/>
    <w:rsid w:val="00CE3C20"/>
    <w:rsid w:val="00CE7395"/>
    <w:rsid w:val="00CF0B0F"/>
    <w:rsid w:val="00CF2C1D"/>
    <w:rsid w:val="00CF6D06"/>
    <w:rsid w:val="00D00E35"/>
    <w:rsid w:val="00D03022"/>
    <w:rsid w:val="00D03C82"/>
    <w:rsid w:val="00D07129"/>
    <w:rsid w:val="00D108AC"/>
    <w:rsid w:val="00D10AA2"/>
    <w:rsid w:val="00D1421C"/>
    <w:rsid w:val="00D14B85"/>
    <w:rsid w:val="00D22DCD"/>
    <w:rsid w:val="00D257E3"/>
    <w:rsid w:val="00D26CA7"/>
    <w:rsid w:val="00D300FD"/>
    <w:rsid w:val="00D30882"/>
    <w:rsid w:val="00D308A6"/>
    <w:rsid w:val="00D32C97"/>
    <w:rsid w:val="00D37EFC"/>
    <w:rsid w:val="00D401F9"/>
    <w:rsid w:val="00D4045F"/>
    <w:rsid w:val="00D406F4"/>
    <w:rsid w:val="00D4310E"/>
    <w:rsid w:val="00D44BFF"/>
    <w:rsid w:val="00D44FD0"/>
    <w:rsid w:val="00D514B5"/>
    <w:rsid w:val="00D5329A"/>
    <w:rsid w:val="00D5799D"/>
    <w:rsid w:val="00D61203"/>
    <w:rsid w:val="00D6303C"/>
    <w:rsid w:val="00D65D4F"/>
    <w:rsid w:val="00D66622"/>
    <w:rsid w:val="00D75EA8"/>
    <w:rsid w:val="00D7793A"/>
    <w:rsid w:val="00D77A64"/>
    <w:rsid w:val="00D82DFF"/>
    <w:rsid w:val="00D87DE2"/>
    <w:rsid w:val="00D91685"/>
    <w:rsid w:val="00D95D48"/>
    <w:rsid w:val="00D97483"/>
    <w:rsid w:val="00DA2F1F"/>
    <w:rsid w:val="00DA4058"/>
    <w:rsid w:val="00DA4873"/>
    <w:rsid w:val="00DA57D6"/>
    <w:rsid w:val="00DB0399"/>
    <w:rsid w:val="00DB261F"/>
    <w:rsid w:val="00DB7A3D"/>
    <w:rsid w:val="00DB7F62"/>
    <w:rsid w:val="00DC3A6C"/>
    <w:rsid w:val="00DC3B55"/>
    <w:rsid w:val="00DC3BD0"/>
    <w:rsid w:val="00DC5B83"/>
    <w:rsid w:val="00DC7155"/>
    <w:rsid w:val="00DD3A4E"/>
    <w:rsid w:val="00DD7016"/>
    <w:rsid w:val="00DE14B9"/>
    <w:rsid w:val="00DE150B"/>
    <w:rsid w:val="00DE2A02"/>
    <w:rsid w:val="00DE7E7A"/>
    <w:rsid w:val="00DF42D0"/>
    <w:rsid w:val="00DF642F"/>
    <w:rsid w:val="00E018BE"/>
    <w:rsid w:val="00E0599D"/>
    <w:rsid w:val="00E06101"/>
    <w:rsid w:val="00E06489"/>
    <w:rsid w:val="00E077EE"/>
    <w:rsid w:val="00E12255"/>
    <w:rsid w:val="00E22711"/>
    <w:rsid w:val="00E2429A"/>
    <w:rsid w:val="00E27999"/>
    <w:rsid w:val="00E27A16"/>
    <w:rsid w:val="00E30759"/>
    <w:rsid w:val="00E36DD7"/>
    <w:rsid w:val="00E403CC"/>
    <w:rsid w:val="00E529F9"/>
    <w:rsid w:val="00E5322D"/>
    <w:rsid w:val="00E55D4E"/>
    <w:rsid w:val="00E56CE9"/>
    <w:rsid w:val="00E6142F"/>
    <w:rsid w:val="00E61991"/>
    <w:rsid w:val="00E6293B"/>
    <w:rsid w:val="00E660F8"/>
    <w:rsid w:val="00E6752E"/>
    <w:rsid w:val="00E743D2"/>
    <w:rsid w:val="00E74AE5"/>
    <w:rsid w:val="00E8535F"/>
    <w:rsid w:val="00E901A5"/>
    <w:rsid w:val="00E91D8A"/>
    <w:rsid w:val="00E94B78"/>
    <w:rsid w:val="00E953EE"/>
    <w:rsid w:val="00EA0E59"/>
    <w:rsid w:val="00EA28D0"/>
    <w:rsid w:val="00EA35C2"/>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E0907"/>
    <w:rsid w:val="00EE2731"/>
    <w:rsid w:val="00EE3921"/>
    <w:rsid w:val="00EE3DF8"/>
    <w:rsid w:val="00EE4AB0"/>
    <w:rsid w:val="00EE5596"/>
    <w:rsid w:val="00EE5C79"/>
    <w:rsid w:val="00EF68A2"/>
    <w:rsid w:val="00F014BE"/>
    <w:rsid w:val="00F0237C"/>
    <w:rsid w:val="00F0567D"/>
    <w:rsid w:val="00F074A1"/>
    <w:rsid w:val="00F14FAA"/>
    <w:rsid w:val="00F23EC1"/>
    <w:rsid w:val="00F2409C"/>
    <w:rsid w:val="00F24F75"/>
    <w:rsid w:val="00F30BF4"/>
    <w:rsid w:val="00F33CF0"/>
    <w:rsid w:val="00F34575"/>
    <w:rsid w:val="00F356A3"/>
    <w:rsid w:val="00F425CD"/>
    <w:rsid w:val="00F43876"/>
    <w:rsid w:val="00F453DD"/>
    <w:rsid w:val="00F46861"/>
    <w:rsid w:val="00F4736C"/>
    <w:rsid w:val="00F47E6C"/>
    <w:rsid w:val="00F53780"/>
    <w:rsid w:val="00F55095"/>
    <w:rsid w:val="00F56512"/>
    <w:rsid w:val="00F57BB5"/>
    <w:rsid w:val="00F618B0"/>
    <w:rsid w:val="00F62304"/>
    <w:rsid w:val="00F6729F"/>
    <w:rsid w:val="00F70FC6"/>
    <w:rsid w:val="00F71DBA"/>
    <w:rsid w:val="00F72366"/>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B3A"/>
    <w:rsid w:val="00FD2B42"/>
    <w:rsid w:val="00FD4F52"/>
    <w:rsid w:val="00FD506B"/>
    <w:rsid w:val="00FD57F4"/>
    <w:rsid w:val="00FD5D5C"/>
    <w:rsid w:val="00FE4043"/>
    <w:rsid w:val="00FF0EA1"/>
    <w:rsid w:val="00FF10D7"/>
    <w:rsid w:val="00FF4CD2"/>
    <w:rsid w:val="3F05E8CA"/>
    <w:rsid w:val="505023B8"/>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Ttulo1">
    <w:name w:val="heading 1"/>
    <w:basedOn w:val="Normal"/>
    <w:next w:val="Normal"/>
    <w:link w:val="Ttulo1Car"/>
    <w:uiPriority w:val="9"/>
    <w:qFormat/>
    <w:rsid w:val="00D32C97"/>
    <w:pPr>
      <w:spacing w:line="276" w:lineRule="auto"/>
      <w:outlineLvl w:val="0"/>
    </w:pPr>
    <w:rPr>
      <w:b/>
      <w:sz w:val="36"/>
      <w:szCs w:val="36"/>
    </w:rPr>
  </w:style>
  <w:style w:type="paragraph" w:styleId="Ttulo2">
    <w:name w:val="heading 2"/>
    <w:aliases w:val="Subheadline"/>
    <w:basedOn w:val="Normal"/>
    <w:next w:val="Normal"/>
    <w:link w:val="Ttulo2C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Ttulo3">
    <w:name w:val="heading 3"/>
    <w:basedOn w:val="Normal"/>
    <w:next w:val="Normal"/>
    <w:link w:val="Ttulo3Car"/>
    <w:uiPriority w:val="9"/>
    <w:semiHidden/>
    <w:unhideWhenUsed/>
    <w:qFormat/>
    <w:rsid w:val="00A535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C97"/>
    <w:rPr>
      <w:rFonts w:ascii="Arial" w:eastAsia="Times New Roman" w:hAnsi="Arial" w:cs="Arial"/>
      <w:b/>
      <w:kern w:val="1"/>
      <w:sz w:val="36"/>
      <w:szCs w:val="36"/>
      <w:lang w:val="en-US" w:eastAsia="ar-SA"/>
    </w:rPr>
  </w:style>
  <w:style w:type="character" w:customStyle="1" w:styleId="Ttulo2Car">
    <w:name w:val="Título 2 Car"/>
    <w:aliases w:val="Subheadline Car"/>
    <w:basedOn w:val="Fuentedeprrafopredeter"/>
    <w:link w:val="Ttulo2"/>
    <w:uiPriority w:val="9"/>
    <w:semiHidden/>
    <w:rsid w:val="004D2177"/>
    <w:rPr>
      <w:rFonts w:ascii="Arial" w:eastAsiaTheme="majorEastAsia" w:hAnsi="Arial" w:cstheme="majorBidi"/>
      <w:bCs/>
      <w:i/>
      <w:sz w:val="24"/>
      <w:szCs w:val="26"/>
    </w:rPr>
  </w:style>
  <w:style w:type="paragraph" w:styleId="Ttulo">
    <w:name w:val="Title"/>
    <w:basedOn w:val="Normal"/>
    <w:next w:val="Normal"/>
    <w:link w:val="TtuloC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tuloCar">
    <w:name w:val="Título Car"/>
    <w:basedOn w:val="Fuentedeprrafopredeter"/>
    <w:link w:val="Ttulo"/>
    <w:uiPriority w:val="10"/>
    <w:rsid w:val="004D2177"/>
    <w:rPr>
      <w:rFonts w:ascii="Arial" w:eastAsiaTheme="majorEastAsia" w:hAnsi="Arial" w:cstheme="majorBidi"/>
      <w:b/>
      <w:spacing w:val="5"/>
      <w:kern w:val="28"/>
      <w:sz w:val="36"/>
      <w:szCs w:val="52"/>
    </w:rPr>
  </w:style>
  <w:style w:type="character" w:styleId="Hipervnculo">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Refdecomentario">
    <w:name w:val="annotation reference"/>
    <w:uiPriority w:val="99"/>
    <w:semiHidden/>
    <w:unhideWhenUsed/>
    <w:rsid w:val="00D108AC"/>
    <w:rPr>
      <w:sz w:val="16"/>
      <w:szCs w:val="16"/>
    </w:rPr>
  </w:style>
  <w:style w:type="paragraph" w:styleId="Textocomentario">
    <w:name w:val="annotation text"/>
    <w:basedOn w:val="Normal"/>
    <w:link w:val="TextocomentarioCar"/>
    <w:uiPriority w:val="99"/>
    <w:unhideWhenUsed/>
    <w:rsid w:val="00D108AC"/>
    <w:rPr>
      <w:sz w:val="20"/>
      <w:szCs w:val="20"/>
    </w:rPr>
  </w:style>
  <w:style w:type="character" w:customStyle="1" w:styleId="TextocomentarioCar">
    <w:name w:val="Texto comentario Car"/>
    <w:basedOn w:val="Fuentedeprrafopredeter"/>
    <w:link w:val="Textocomentario"/>
    <w:uiPriority w:val="99"/>
    <w:rsid w:val="00D108AC"/>
    <w:rPr>
      <w:rFonts w:ascii="Times New Roman" w:eastAsia="Times New Roman" w:hAnsi="Times New Roman" w:cs="Times New Roman"/>
      <w:kern w:val="1"/>
      <w:sz w:val="20"/>
      <w:szCs w:val="20"/>
      <w:lang w:eastAsia="ar-SA"/>
    </w:rPr>
  </w:style>
  <w:style w:type="paragraph" w:styleId="Textodeglobo">
    <w:name w:val="Balloon Text"/>
    <w:basedOn w:val="Normal"/>
    <w:link w:val="TextodegloboCar"/>
    <w:uiPriority w:val="99"/>
    <w:semiHidden/>
    <w:unhideWhenUsed/>
    <w:rsid w:val="00D108AC"/>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8AC"/>
    <w:rPr>
      <w:rFonts w:ascii="Tahoma" w:eastAsia="Times New Roman" w:hAnsi="Tahoma" w:cs="Tahoma"/>
      <w:kern w:val="1"/>
      <w:sz w:val="16"/>
      <w:szCs w:val="16"/>
      <w:lang w:eastAsia="ar-SA"/>
    </w:rPr>
  </w:style>
  <w:style w:type="paragraph" w:styleId="Asuntodelcomentario">
    <w:name w:val="annotation subject"/>
    <w:basedOn w:val="Textocomentario"/>
    <w:next w:val="Textocomentario"/>
    <w:link w:val="AsuntodelcomentarioCar"/>
    <w:uiPriority w:val="99"/>
    <w:semiHidden/>
    <w:unhideWhenUsed/>
    <w:rsid w:val="009C67E6"/>
    <w:rPr>
      <w:b/>
      <w:bCs/>
    </w:rPr>
  </w:style>
  <w:style w:type="character" w:customStyle="1" w:styleId="AsuntodelcomentarioCar">
    <w:name w:val="Asunto del comentario Car"/>
    <w:basedOn w:val="TextocomentarioCar"/>
    <w:link w:val="Asuntodelcomentario"/>
    <w:uiPriority w:val="99"/>
    <w:semiHidden/>
    <w:rsid w:val="009C67E6"/>
    <w:rPr>
      <w:rFonts w:ascii="Times New Roman" w:eastAsia="Times New Roman" w:hAnsi="Times New Roman" w:cs="Times New Roman"/>
      <w:b/>
      <w:bCs/>
      <w:kern w:val="1"/>
      <w:sz w:val="20"/>
      <w:szCs w:val="20"/>
      <w:lang w:eastAsia="ar-SA"/>
    </w:rPr>
  </w:style>
  <w:style w:type="character" w:styleId="Hipervnculovisitado">
    <w:name w:val="FollowedHyperlink"/>
    <w:basedOn w:val="Fuentedeprrafopredeter"/>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Fuentedeprrafopredeter"/>
    <w:rsid w:val="00EE5596"/>
  </w:style>
  <w:style w:type="character" w:styleId="nfasis">
    <w:name w:val="Emphasis"/>
    <w:basedOn w:val="Fuentedeprrafopredeter"/>
    <w:uiPriority w:val="20"/>
    <w:qFormat/>
    <w:rsid w:val="00EE5596"/>
    <w:rPr>
      <w:i/>
      <w:iCs/>
    </w:rPr>
  </w:style>
  <w:style w:type="paragraph" w:styleId="Textonotaalfinal">
    <w:name w:val="endnote text"/>
    <w:basedOn w:val="Normal"/>
    <w:link w:val="TextonotaalfinalCar"/>
    <w:uiPriority w:val="99"/>
    <w:unhideWhenUsed/>
    <w:rsid w:val="00D97483"/>
    <w:rPr>
      <w:sz w:val="20"/>
      <w:szCs w:val="20"/>
    </w:rPr>
  </w:style>
  <w:style w:type="character" w:customStyle="1" w:styleId="TextonotaalfinalCar">
    <w:name w:val="Texto nota al final Car"/>
    <w:basedOn w:val="Fuentedeprrafopredeter"/>
    <w:link w:val="Textonotaalfinal"/>
    <w:uiPriority w:val="99"/>
    <w:rsid w:val="00D97483"/>
    <w:rPr>
      <w:rFonts w:ascii="Times New Roman" w:eastAsia="Times New Roman" w:hAnsi="Times New Roman" w:cs="Times New Roman"/>
      <w:kern w:val="1"/>
      <w:sz w:val="20"/>
      <w:szCs w:val="20"/>
      <w:lang w:eastAsia="ar-SA"/>
    </w:rPr>
  </w:style>
  <w:style w:type="character" w:styleId="Refdenotaalfinal">
    <w:name w:val="endnote reference"/>
    <w:basedOn w:val="Fuentedeprrafopredeter"/>
    <w:uiPriority w:val="99"/>
    <w:semiHidden/>
    <w:unhideWhenUsed/>
    <w:rsid w:val="00D97483"/>
    <w:rPr>
      <w:vertAlign w:val="superscript"/>
    </w:rPr>
  </w:style>
  <w:style w:type="paragraph" w:styleId="Prrafodelista">
    <w:name w:val="List Paragraph"/>
    <w:basedOn w:val="Normal"/>
    <w:uiPriority w:val="34"/>
    <w:qFormat/>
    <w:rsid w:val="00446472"/>
    <w:pPr>
      <w:ind w:left="720"/>
      <w:contextualSpacing/>
    </w:pPr>
  </w:style>
  <w:style w:type="paragraph" w:styleId="Encabezado">
    <w:name w:val="header"/>
    <w:basedOn w:val="Normal"/>
    <w:link w:val="EncabezadoCar"/>
    <w:uiPriority w:val="99"/>
    <w:unhideWhenUsed/>
    <w:rsid w:val="00A906AA"/>
    <w:pPr>
      <w:tabs>
        <w:tab w:val="center" w:pos="4536"/>
        <w:tab w:val="right" w:pos="9072"/>
      </w:tabs>
    </w:pPr>
  </w:style>
  <w:style w:type="character" w:customStyle="1" w:styleId="EncabezadoCar">
    <w:name w:val="Encabezado Car"/>
    <w:basedOn w:val="Fuentedeprrafopredeter"/>
    <w:link w:val="Encabezado"/>
    <w:uiPriority w:val="99"/>
    <w:rsid w:val="00A906AA"/>
    <w:rPr>
      <w:rFonts w:ascii="Times New Roman" w:eastAsia="Times New Roman" w:hAnsi="Times New Roman" w:cs="Times New Roman"/>
      <w:kern w:val="1"/>
      <w:sz w:val="24"/>
      <w:szCs w:val="24"/>
      <w:lang w:eastAsia="ar-SA"/>
    </w:rPr>
  </w:style>
  <w:style w:type="paragraph" w:styleId="Piedepgina">
    <w:name w:val="footer"/>
    <w:basedOn w:val="Normal"/>
    <w:link w:val="PiedepginaCar"/>
    <w:uiPriority w:val="99"/>
    <w:unhideWhenUsed/>
    <w:rsid w:val="00A906AA"/>
    <w:pPr>
      <w:tabs>
        <w:tab w:val="center" w:pos="4536"/>
        <w:tab w:val="right" w:pos="9072"/>
      </w:tabs>
    </w:pPr>
  </w:style>
  <w:style w:type="character" w:customStyle="1" w:styleId="PiedepginaCar">
    <w:name w:val="Pie de página Car"/>
    <w:basedOn w:val="Fuentedeprrafopredeter"/>
    <w:link w:val="Piedepgina"/>
    <w:uiPriority w:val="99"/>
    <w:rsid w:val="00A906AA"/>
    <w:rPr>
      <w:rFonts w:ascii="Times New Roman" w:eastAsia="Times New Roman" w:hAnsi="Times New Roman" w:cs="Times New Roman"/>
      <w:kern w:val="1"/>
      <w:sz w:val="24"/>
      <w:szCs w:val="24"/>
      <w:lang w:eastAsia="ar-SA"/>
    </w:rPr>
  </w:style>
  <w:style w:type="table" w:styleId="Tablaconcuadrcula">
    <w:name w:val="Table Grid"/>
    <w:basedOn w:val="Tabla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Mencinsinresolver">
    <w:name w:val="Unresolved Mention"/>
    <w:basedOn w:val="Fuentedeprrafopredeter"/>
    <w:uiPriority w:val="99"/>
    <w:semiHidden/>
    <w:unhideWhenUsed/>
    <w:rsid w:val="003B409F"/>
    <w:rPr>
      <w:color w:val="605E5C"/>
      <w:shd w:val="clear" w:color="auto" w:fill="E1DFDD"/>
    </w:rPr>
  </w:style>
  <w:style w:type="character" w:styleId="Mencionar">
    <w:name w:val="Mention"/>
    <w:basedOn w:val="Fuentedeprrafopredeter"/>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Fuentedeprrafopredeter"/>
    <w:rsid w:val="002C14C0"/>
  </w:style>
  <w:style w:type="character" w:customStyle="1" w:styleId="eop">
    <w:name w:val="eop"/>
    <w:basedOn w:val="Fuentedeprrafopredeter"/>
    <w:rsid w:val="002C14C0"/>
  </w:style>
  <w:style w:type="paragraph" w:styleId="Revisin">
    <w:name w:val="Revision"/>
    <w:hidden/>
    <w:uiPriority w:val="99"/>
    <w:semiHidden/>
    <w:rsid w:val="002A4CF3"/>
    <w:rPr>
      <w:rFonts w:ascii="Arial" w:eastAsia="Times New Roman" w:hAnsi="Arial" w:cs="Arial"/>
      <w:kern w:val="1"/>
      <w:lang w:val="en-US" w:eastAsia="ar-SA"/>
    </w:rPr>
  </w:style>
  <w:style w:type="character" w:customStyle="1" w:styleId="Ttulo3Car">
    <w:name w:val="Título 3 Car"/>
    <w:basedOn w:val="Fuentedeprrafopredeter"/>
    <w:link w:val="Ttulo3"/>
    <w:uiPriority w:val="9"/>
    <w:semiHidden/>
    <w:rsid w:val="00A535A8"/>
    <w:rPr>
      <w:rFonts w:asciiTheme="majorHAnsi" w:eastAsiaTheme="majorEastAsia" w:hAnsiTheme="majorHAnsi" w:cstheme="majorBidi"/>
      <w:color w:val="243F60" w:themeColor="accent1" w:themeShade="7F"/>
      <w:kern w:val="1"/>
      <w:sz w:val="24"/>
      <w:szCs w:val="24"/>
      <w:lang w:val="en-US" w:eastAsia="ar-SA"/>
    </w:rPr>
  </w:style>
  <w:style w:type="character" w:customStyle="1" w:styleId="whitespace-normal">
    <w:name w:val="whitespace-normal"/>
    <w:basedOn w:val="Fuentedeprrafopredeter"/>
    <w:rsid w:val="00A535A8"/>
  </w:style>
  <w:style w:type="paragraph" w:styleId="z-Principiodelformulario">
    <w:name w:val="HTML Top of Form"/>
    <w:basedOn w:val="Normal"/>
    <w:next w:val="Normal"/>
    <w:link w:val="z-PrincipiodelformularioCar"/>
    <w:hidden/>
    <w:uiPriority w:val="99"/>
    <w:semiHidden/>
    <w:unhideWhenUsed/>
    <w:rsid w:val="00A535A8"/>
    <w:pPr>
      <w:pBdr>
        <w:bottom w:val="single" w:sz="6" w:space="1" w:color="auto"/>
      </w:pBdr>
      <w:suppressAutoHyphens w:val="0"/>
      <w:spacing w:line="240" w:lineRule="auto"/>
      <w:jc w:val="center"/>
    </w:pPr>
    <w:rPr>
      <w:vanish/>
      <w:kern w:val="0"/>
      <w:sz w:val="16"/>
      <w:szCs w:val="16"/>
      <w:lang w:val="de-DE" w:eastAsia="de-DE"/>
    </w:rPr>
  </w:style>
  <w:style w:type="character" w:customStyle="1" w:styleId="z-PrincipiodelformularioCar">
    <w:name w:val="z-Principio del formulario Car"/>
    <w:basedOn w:val="Fuentedeprrafopredeter"/>
    <w:link w:val="z-Principiodelformulario"/>
    <w:uiPriority w:val="99"/>
    <w:semiHidden/>
    <w:rsid w:val="00A535A8"/>
    <w:rPr>
      <w:rFonts w:ascii="Arial" w:eastAsia="Times New Roman" w:hAnsi="Arial" w:cs="Arial"/>
      <w:vanish/>
      <w:sz w:val="16"/>
      <w:szCs w:val="16"/>
      <w:lang w:eastAsia="de-DE"/>
    </w:rPr>
  </w:style>
  <w:style w:type="paragraph" w:customStyle="1" w:styleId="placeholder">
    <w:name w:val="placeholder"/>
    <w:basedOn w:val="Normal"/>
    <w:rsid w:val="00A535A8"/>
    <w:pPr>
      <w:suppressAutoHyphens w:val="0"/>
      <w:spacing w:before="100" w:beforeAutospacing="1" w:after="100" w:afterAutospacing="1" w:line="240" w:lineRule="auto"/>
    </w:pPr>
    <w:rPr>
      <w:rFonts w:ascii="Times New Roman" w:hAnsi="Times New Roman" w:cs="Times New Roman"/>
      <w:kern w:val="0"/>
      <w:sz w:val="24"/>
      <w:szCs w:val="24"/>
      <w:lang w:val="de-DE" w:eastAsia="de-DE"/>
    </w:rPr>
  </w:style>
  <w:style w:type="paragraph" w:styleId="z-Finaldelformulario">
    <w:name w:val="HTML Bottom of Form"/>
    <w:basedOn w:val="Normal"/>
    <w:next w:val="Normal"/>
    <w:link w:val="z-FinaldelformularioCar"/>
    <w:hidden/>
    <w:uiPriority w:val="99"/>
    <w:semiHidden/>
    <w:unhideWhenUsed/>
    <w:rsid w:val="00A535A8"/>
    <w:pPr>
      <w:pBdr>
        <w:top w:val="single" w:sz="6" w:space="1" w:color="auto"/>
      </w:pBdr>
      <w:suppressAutoHyphens w:val="0"/>
      <w:spacing w:line="240" w:lineRule="auto"/>
      <w:jc w:val="center"/>
    </w:pPr>
    <w:rPr>
      <w:vanish/>
      <w:kern w:val="0"/>
      <w:sz w:val="16"/>
      <w:szCs w:val="16"/>
      <w:lang w:val="de-DE" w:eastAsia="de-DE"/>
    </w:rPr>
  </w:style>
  <w:style w:type="character" w:customStyle="1" w:styleId="z-FinaldelformularioCar">
    <w:name w:val="z-Final del formulario Car"/>
    <w:basedOn w:val="Fuentedeprrafopredeter"/>
    <w:link w:val="z-Finaldelformulario"/>
    <w:uiPriority w:val="99"/>
    <w:semiHidden/>
    <w:rsid w:val="00A535A8"/>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youtube.com/congatecAE" TargetMode="Externa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eady.com/"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D56CE-B416-4ABF-B7D4-0FB98EC2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4.xml><?xml version="1.0" encoding="utf-8"?>
<ds:datastoreItem xmlns:ds="http://schemas.openxmlformats.org/officeDocument/2006/customXml" ds:itemID="{249EF4CB-CCF1-495D-A14B-DE9BE33F7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1048</Words>
  <Characters>5768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Microsoft Office User</cp:lastModifiedBy>
  <cp:revision>2</cp:revision>
  <cp:lastPrinted>2020-12-07T11:00:00Z</cp:lastPrinted>
  <dcterms:created xsi:type="dcterms:W3CDTF">2026-03-11T15:24:00Z</dcterms:created>
  <dcterms:modified xsi:type="dcterms:W3CDTF">2026-03-11T15:24:00Z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2026-02-16T13:59:01Z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4bd9587c-026f-4481-af4a-64f33c5aaf4a</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ies>
</file>