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0809" w14:textId="546F3701" w:rsidR="009D0A2B" w:rsidRPr="00376435" w:rsidRDefault="009D0A2B" w:rsidP="00F015CF">
      <w:pPr>
        <w:pStyle w:val="berschrift1"/>
        <w:spacing w:line="240" w:lineRule="auto"/>
        <w:rPr>
          <w:rFonts w:cs="Arial"/>
          <w:lang w:val="en-US"/>
        </w:rPr>
      </w:pPr>
      <w:r w:rsidRPr="009C4B5D">
        <w:rPr>
          <w:rFonts w:cs="Arial"/>
        </w:rPr>
        <w:drawing>
          <wp:anchor distT="0" distB="0" distL="114300" distR="114300" simplePos="0" relativeHeight="251658240"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Picture 3"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9" cstate="print"/>
                    <a:stretch>
                      <a:fillRect/>
                    </a:stretch>
                  </pic:blipFill>
                  <pic:spPr>
                    <a:xfrm>
                      <a:off x="0" y="0"/>
                      <a:ext cx="1145330" cy="901243"/>
                    </a:xfrm>
                    <a:prstGeom prst="rect">
                      <a:avLst/>
                    </a:prstGeom>
                  </pic:spPr>
                </pic:pic>
              </a:graphicData>
            </a:graphic>
          </wp:anchor>
        </w:drawing>
      </w:r>
      <w:r w:rsidRPr="00376435">
        <w:rPr>
          <w:rFonts w:cs="Arial"/>
          <w:lang w:val="en-US"/>
        </w:rPr>
        <w:t>Press</w:t>
      </w:r>
      <w:r w:rsidR="006A776F" w:rsidRPr="00376435">
        <w:rPr>
          <w:rFonts w:cs="Arial"/>
          <w:lang w:val="en-US"/>
        </w:rPr>
        <w:t xml:space="preserve"> Release</w:t>
      </w:r>
    </w:p>
    <w:p w14:paraId="190E32DD" w14:textId="77777777" w:rsidR="009D0A2B" w:rsidRPr="00376435" w:rsidRDefault="009D0A2B" w:rsidP="00363127">
      <w:pPr>
        <w:pStyle w:val="berschrift1"/>
        <w:spacing w:line="240" w:lineRule="auto"/>
        <w:rPr>
          <w:rFonts w:cs="Arial"/>
          <w:lang w:val="en-US"/>
        </w:rPr>
      </w:pPr>
    </w:p>
    <w:p w14:paraId="50C209D9" w14:textId="77777777" w:rsidR="009D0A2B" w:rsidRPr="00376435" w:rsidRDefault="009D0A2B" w:rsidP="00363127">
      <w:pPr>
        <w:pStyle w:val="berschrift1"/>
        <w:spacing w:line="240" w:lineRule="auto"/>
        <w:rPr>
          <w:rFonts w:cs="Arial"/>
          <w:lang w:val="en-US"/>
        </w:rPr>
      </w:pPr>
    </w:p>
    <w:p w14:paraId="1634F36D" w14:textId="57307A4D" w:rsidR="009D0A2B" w:rsidRPr="00376435" w:rsidRDefault="00CB01E5" w:rsidP="00F015CF">
      <w:pPr>
        <w:spacing w:line="240" w:lineRule="auto"/>
        <w:rPr>
          <w:rFonts w:cs="Arial"/>
          <w:lang w:val="en-US"/>
        </w:rPr>
      </w:pPr>
      <w:r w:rsidRPr="00376435">
        <w:rPr>
          <w:rFonts w:cs="Arial"/>
          <w:lang w:val="en-US"/>
        </w:rPr>
        <w:t>New COM Express modules with Intel Core Series 3 processors for cost- and energy-optimized embedded computing applications</w:t>
      </w:r>
    </w:p>
    <w:p w14:paraId="575198EE" w14:textId="77777777" w:rsidR="00CB01E5" w:rsidRPr="00376435" w:rsidRDefault="00CB01E5" w:rsidP="00F015CF">
      <w:pPr>
        <w:spacing w:line="240" w:lineRule="auto"/>
        <w:rPr>
          <w:rFonts w:cs="Arial"/>
          <w:lang w:val="en-US"/>
        </w:rPr>
      </w:pPr>
    </w:p>
    <w:p w14:paraId="086B6488" w14:textId="28429A9B" w:rsidR="009D0A2B" w:rsidRPr="00376435" w:rsidRDefault="00CB01E5" w:rsidP="00F015CF">
      <w:pPr>
        <w:pStyle w:val="berschrift1"/>
        <w:spacing w:line="240" w:lineRule="auto"/>
        <w:rPr>
          <w:rFonts w:cs="Arial"/>
          <w:lang w:val="en-US"/>
        </w:rPr>
      </w:pPr>
      <w:r w:rsidRPr="00376435">
        <w:rPr>
          <w:rFonts w:cs="Arial"/>
          <w:lang w:val="en-US"/>
        </w:rPr>
        <w:t xml:space="preserve">conga-TC300 – </w:t>
      </w:r>
      <w:r w:rsidR="00376435">
        <w:rPr>
          <w:rFonts w:cs="Arial"/>
          <w:lang w:val="en-US"/>
        </w:rPr>
        <w:t xml:space="preserve">the </w:t>
      </w:r>
      <w:r w:rsidRPr="00376435">
        <w:rPr>
          <w:rFonts w:cs="Arial"/>
          <w:lang w:val="en-US"/>
        </w:rPr>
        <w:t xml:space="preserve">ideal </w:t>
      </w:r>
      <w:r w:rsidR="00376435">
        <w:rPr>
          <w:rFonts w:cs="Arial"/>
          <w:lang w:val="en-US"/>
        </w:rPr>
        <w:t>entry point into</w:t>
      </w:r>
      <w:r w:rsidRPr="00376435">
        <w:rPr>
          <w:rFonts w:cs="Arial"/>
          <w:lang w:val="en-US"/>
        </w:rPr>
        <w:t xml:space="preserve"> edge AI</w:t>
      </w:r>
    </w:p>
    <w:p w14:paraId="1AFC7745" w14:textId="77777777" w:rsidR="00B54193" w:rsidRPr="00376435" w:rsidRDefault="00B54193" w:rsidP="00F015CF">
      <w:pPr>
        <w:spacing w:line="240" w:lineRule="auto"/>
        <w:rPr>
          <w:rFonts w:cs="Arial"/>
          <w:lang w:val="en-US"/>
        </w:rPr>
      </w:pPr>
    </w:p>
    <w:p w14:paraId="62785EF1" w14:textId="545D4F2C" w:rsidR="006B627C" w:rsidRPr="009C4B5D" w:rsidRDefault="001018C6" w:rsidP="00E856D4">
      <w:pPr>
        <w:spacing w:line="240" w:lineRule="auto"/>
        <w:jc w:val="center"/>
        <w:rPr>
          <w:rFonts w:cs="Arial"/>
        </w:rPr>
      </w:pPr>
      <w:r>
        <w:rPr>
          <w:rFonts w:cs="Arial"/>
          <w:noProof/>
        </w:rPr>
        <w:drawing>
          <wp:inline distT="0" distB="0" distL="0" distR="0" wp14:anchorId="6FBD1B00" wp14:editId="34529652">
            <wp:extent cx="5764530" cy="3840480"/>
            <wp:effectExtent l="0" t="0" r="7620" b="7620"/>
            <wp:docPr id="778472703" name="Picture 77847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4530" cy="3840480"/>
                    </a:xfrm>
                    <a:prstGeom prst="rect">
                      <a:avLst/>
                    </a:prstGeom>
                    <a:noFill/>
                    <a:ln>
                      <a:noFill/>
                    </a:ln>
                  </pic:spPr>
                </pic:pic>
              </a:graphicData>
            </a:graphic>
          </wp:inline>
        </w:drawing>
      </w:r>
    </w:p>
    <w:p w14:paraId="3EDF2B54" w14:textId="77777777" w:rsidR="00B54193" w:rsidRPr="00F15830" w:rsidRDefault="00B54193" w:rsidP="00F015CF">
      <w:pPr>
        <w:spacing w:line="240" w:lineRule="auto"/>
        <w:rPr>
          <w:rFonts w:cs="Arial"/>
          <w:szCs w:val="22"/>
        </w:rPr>
      </w:pPr>
    </w:p>
    <w:p w14:paraId="07DD8A50" w14:textId="417AC0AC" w:rsidR="00CB01E5" w:rsidRPr="00376435" w:rsidRDefault="00040EC4" w:rsidP="00CB01E5">
      <w:pPr>
        <w:rPr>
          <w:rFonts w:cs="Arial"/>
          <w:lang w:val="en-US"/>
        </w:rPr>
      </w:pPr>
      <w:r w:rsidRPr="00040EC4">
        <w:rPr>
          <w:rFonts w:cs="Arial"/>
          <w:b/>
          <w:bCs/>
          <w:lang w:val="en-US"/>
        </w:rPr>
        <w:t xml:space="preserve">San Diego, CA, </w:t>
      </w:r>
      <w:r w:rsidR="00D80FEB" w:rsidRPr="00376435">
        <w:rPr>
          <w:rFonts w:cs="Arial"/>
          <w:b/>
          <w:bCs/>
          <w:lang w:val="en-US"/>
        </w:rPr>
        <w:t>April</w:t>
      </w:r>
      <w:r w:rsidR="00DA75D0">
        <w:rPr>
          <w:rFonts w:cs="Arial"/>
          <w:b/>
          <w:bCs/>
          <w:lang w:val="en-US"/>
        </w:rPr>
        <w:t xml:space="preserve"> 16,</w:t>
      </w:r>
      <w:r w:rsidR="00D80FEB" w:rsidRPr="00376435">
        <w:rPr>
          <w:rFonts w:cs="Arial"/>
          <w:b/>
          <w:bCs/>
          <w:lang w:val="en-US"/>
        </w:rPr>
        <w:t xml:space="preserve"> </w:t>
      </w:r>
      <w:r w:rsidR="00B54193" w:rsidRPr="00376435">
        <w:rPr>
          <w:rFonts w:cs="Arial"/>
          <w:b/>
          <w:bCs/>
          <w:lang w:val="en-US"/>
        </w:rPr>
        <w:t>202</w:t>
      </w:r>
      <w:r w:rsidR="0014127A" w:rsidRPr="00376435">
        <w:rPr>
          <w:rFonts w:cs="Arial"/>
          <w:b/>
          <w:bCs/>
          <w:lang w:val="en-US"/>
        </w:rPr>
        <w:t>6</w:t>
      </w:r>
      <w:r w:rsidR="00B54193" w:rsidRPr="00376435">
        <w:rPr>
          <w:rFonts w:cs="Arial"/>
          <w:b/>
          <w:bCs/>
          <w:lang w:val="en-US"/>
        </w:rPr>
        <w:t xml:space="preserve"> * *</w:t>
      </w:r>
      <w:r w:rsidR="00B54193" w:rsidRPr="00376435">
        <w:rPr>
          <w:rFonts w:cs="Arial"/>
          <w:lang w:val="en-US"/>
        </w:rPr>
        <w:t xml:space="preserve"> * </w:t>
      </w:r>
      <w:r w:rsidR="00CB01E5" w:rsidRPr="00376435">
        <w:rPr>
          <w:rFonts w:cs="Arial"/>
          <w:lang w:val="en-US"/>
        </w:rPr>
        <w:t xml:space="preserve">congatec – </w:t>
      </w:r>
      <w:r w:rsidR="00A75B29">
        <w:rPr>
          <w:rFonts w:cs="Arial"/>
          <w:lang w:val="en-US"/>
        </w:rPr>
        <w:t>a</w:t>
      </w:r>
      <w:r w:rsidR="00CB01E5" w:rsidRPr="00376435">
        <w:rPr>
          <w:rFonts w:cs="Arial"/>
          <w:lang w:val="en-US"/>
        </w:rPr>
        <w:t xml:space="preserve"> leading provider of embedded and edge computing technology – introduces the conga-TC300 Computer-on-Module (COM) in the COM Express Compact form factor, based on Intel Core Series 3 processors (codename: Wildcat Lake). With this, the application-ready aReady.COM modules bring dedicated AI accelerators to the low-power and entry-level segment of x86-based embedded and industrial edge applications for the first time. They are an ideal upgrade for all embedded designs that previously used Intel Atom or Celeron platforms but now need to be expanded with dedicated AI capabilities. The conga-TC300 is specifically designed for cost-</w:t>
      </w:r>
      <w:proofErr w:type="gramStart"/>
      <w:r w:rsidR="00CB01E5" w:rsidRPr="00376435">
        <w:rPr>
          <w:rFonts w:cs="Arial"/>
          <w:lang w:val="en-US"/>
        </w:rPr>
        <w:t>sensitive edge</w:t>
      </w:r>
      <w:proofErr w:type="gramEnd"/>
      <w:r w:rsidR="00CB01E5" w:rsidRPr="00376435">
        <w:rPr>
          <w:rFonts w:cs="Arial"/>
          <w:lang w:val="en-US"/>
        </w:rPr>
        <w:t xml:space="preserve"> AI applications in markets such as robotics, industrial automation, medical technology, transportation, smart cities, and retail/point-of-sale (POS). </w:t>
      </w:r>
    </w:p>
    <w:p w14:paraId="4A163E20" w14:textId="77777777" w:rsidR="00066507" w:rsidRPr="00376435" w:rsidRDefault="00066507" w:rsidP="003E477C">
      <w:pPr>
        <w:rPr>
          <w:rFonts w:cs="Arial"/>
          <w:lang w:val="en-US"/>
        </w:rPr>
      </w:pPr>
    </w:p>
    <w:p w14:paraId="1A3847BC" w14:textId="77777777" w:rsidR="009F6667" w:rsidRPr="00376435" w:rsidRDefault="009F6667" w:rsidP="003E477C">
      <w:pPr>
        <w:rPr>
          <w:lang w:val="en-US"/>
        </w:rPr>
      </w:pPr>
    </w:p>
    <w:p w14:paraId="63F0C209" w14:textId="775C16B4" w:rsidR="004548C6" w:rsidRPr="00376435" w:rsidRDefault="006A776F" w:rsidP="003E477C">
      <w:pPr>
        <w:rPr>
          <w:lang w:val="en-US"/>
        </w:rPr>
      </w:pPr>
      <w:r w:rsidRPr="00376435">
        <w:rPr>
          <w:lang w:val="en-US"/>
        </w:rPr>
        <w:t xml:space="preserve">With the Intel Core Series 3 processors, the new modules bring numerous high-end features to the entry-level segment. These include improved energy efficiency thanks to two </w:t>
      </w:r>
      <w:r w:rsidR="005A230A">
        <w:rPr>
          <w:lang w:val="en-US"/>
        </w:rPr>
        <w:lastRenderedPageBreak/>
        <w:t>P</w:t>
      </w:r>
      <w:r w:rsidRPr="00376435">
        <w:rPr>
          <w:lang w:val="en-US"/>
        </w:rPr>
        <w:t xml:space="preserve">erformance cores </w:t>
      </w:r>
      <w:r w:rsidR="005A230A">
        <w:rPr>
          <w:lang w:val="en-US"/>
        </w:rPr>
        <w:t xml:space="preserve">(P-cores) </w:t>
      </w:r>
      <w:r w:rsidRPr="00376435">
        <w:rPr>
          <w:lang w:val="en-US"/>
        </w:rPr>
        <w:t xml:space="preserve">and four </w:t>
      </w:r>
      <w:r w:rsidR="005A230A">
        <w:rPr>
          <w:lang w:val="en-US"/>
        </w:rPr>
        <w:t>L</w:t>
      </w:r>
      <w:r w:rsidR="00D66210">
        <w:rPr>
          <w:lang w:val="en-US"/>
        </w:rPr>
        <w:t xml:space="preserve">ow </w:t>
      </w:r>
      <w:r w:rsidR="005A230A">
        <w:rPr>
          <w:lang w:val="en-US"/>
        </w:rPr>
        <w:t>P</w:t>
      </w:r>
      <w:r w:rsidR="00D66210">
        <w:rPr>
          <w:lang w:val="en-US"/>
        </w:rPr>
        <w:t xml:space="preserve">ower </w:t>
      </w:r>
      <w:r w:rsidR="005A230A">
        <w:rPr>
          <w:lang w:val="en-US"/>
        </w:rPr>
        <w:t>E</w:t>
      </w:r>
      <w:r w:rsidRPr="00376435">
        <w:rPr>
          <w:lang w:val="en-US"/>
        </w:rPr>
        <w:t>fficient cores</w:t>
      </w:r>
      <w:r w:rsidR="005A230A">
        <w:rPr>
          <w:lang w:val="en-US"/>
        </w:rPr>
        <w:t xml:space="preserve"> (LP E-cores)</w:t>
      </w:r>
      <w:r w:rsidRPr="00376435">
        <w:rPr>
          <w:lang w:val="en-US"/>
        </w:rPr>
        <w:t xml:space="preserve">, which deliver up to 5 TOPS thanks to Intel 18A. They are also the first Intel Core modules with a dedicated NPU capable of up to 18 TOPS. In addition, there are </w:t>
      </w:r>
      <w:r w:rsidR="009B476E">
        <w:rPr>
          <w:lang w:val="en-US"/>
        </w:rPr>
        <w:t xml:space="preserve">up to </w:t>
      </w:r>
      <w:r w:rsidRPr="00376435">
        <w:rPr>
          <w:lang w:val="en-US"/>
        </w:rPr>
        <w:t>two Xe3 graphics cores for GPGPU-accelerated AI applications, also delivering up to 18 TOPS. In total, developers can access up to 41 TOPS of AI performance. And all this within an economical Thermal Design Power (TDP) envelope that can be scaled from 12 to 28 W—with a 15 W base TDP—to suit various use cases.</w:t>
      </w:r>
    </w:p>
    <w:p w14:paraId="7230538B" w14:textId="77777777" w:rsidR="006A776F" w:rsidRPr="00376435" w:rsidRDefault="006A776F" w:rsidP="003E477C">
      <w:pPr>
        <w:rPr>
          <w:lang w:val="en-US"/>
        </w:rPr>
      </w:pPr>
    </w:p>
    <w:p w14:paraId="1E83FBB5" w14:textId="21BA1ADE" w:rsidR="004A4003" w:rsidRPr="00376435" w:rsidRDefault="006A776F" w:rsidP="00061C51">
      <w:pPr>
        <w:rPr>
          <w:lang w:val="en-US"/>
        </w:rPr>
      </w:pPr>
      <w:r w:rsidRPr="00376435">
        <w:rPr>
          <w:lang w:val="en-US"/>
        </w:rPr>
        <w:t>“With the conga-TC300, we are opening up a reliable upgrade path to new AI capabilities with up to ten years of availability for low-power and lightweight AI applications. With our new COM Express module, OEMs can easily equip applications such as Autonomous Guided Vehicles (AGVs) and Autonomous Mobile Robots (AMRs), intelligent machine controls, HMIs, Patient Data Monitoring Systems (PDMS), surveillance, or check-in and check-out terminals with new AI features. Whether it’s local voice or gesture control, AI-assisted object recognition and identification, or LLM-based dialogue functions</w:t>
      </w:r>
      <w:r w:rsidR="009472F6">
        <w:rPr>
          <w:lang w:val="en-US"/>
        </w:rPr>
        <w:t>,</w:t>
      </w:r>
      <w:r w:rsidRPr="00376435">
        <w:rPr>
          <w:lang w:val="en-US"/>
        </w:rPr>
        <w:t xml:space="preserve"> </w:t>
      </w:r>
      <w:r w:rsidR="009472F6">
        <w:rPr>
          <w:lang w:val="en-US"/>
        </w:rPr>
        <w:t>d</w:t>
      </w:r>
      <w:r w:rsidRPr="00376435">
        <w:rPr>
          <w:lang w:val="en-US"/>
        </w:rPr>
        <w:t>evelopers looking for cost- and energy-efficient AI performance will be very pleased with the conga-TC300,” explains Jürgen Jungbauer, Senior Product Line Manager at congatec.</w:t>
      </w:r>
    </w:p>
    <w:p w14:paraId="00770498" w14:textId="77777777" w:rsidR="006A776F" w:rsidRPr="00376435" w:rsidRDefault="006A776F" w:rsidP="00061C51">
      <w:pPr>
        <w:rPr>
          <w:rFonts w:cs="Arial"/>
          <w:szCs w:val="22"/>
          <w:lang w:val="en-US"/>
        </w:rPr>
      </w:pPr>
    </w:p>
    <w:p w14:paraId="33155597" w14:textId="77777777" w:rsidR="006A776F" w:rsidRPr="00376435" w:rsidRDefault="006A776F" w:rsidP="33A1EF13">
      <w:pPr>
        <w:rPr>
          <w:rFonts w:cs="Arial"/>
          <w:b/>
          <w:bCs/>
          <w:szCs w:val="22"/>
          <w:lang w:val="en-US"/>
        </w:rPr>
      </w:pPr>
      <w:r w:rsidRPr="00376435">
        <w:rPr>
          <w:rFonts w:cs="Arial"/>
          <w:b/>
          <w:bCs/>
          <w:szCs w:val="22"/>
          <w:lang w:val="en-US"/>
        </w:rPr>
        <w:t>The module in detail</w:t>
      </w:r>
    </w:p>
    <w:p w14:paraId="36E49D1C" w14:textId="7AD2081F" w:rsidR="00B92072" w:rsidRPr="00376435" w:rsidRDefault="006A776F" w:rsidP="00061C51">
      <w:pPr>
        <w:rPr>
          <w:rFonts w:cs="Arial"/>
          <w:lang w:val="en-US"/>
        </w:rPr>
      </w:pPr>
      <w:r w:rsidRPr="00376435">
        <w:rPr>
          <w:rFonts w:cs="Arial"/>
          <w:lang w:val="en-US"/>
        </w:rPr>
        <w:t>The conga-TC300 integrates up to 64 GB of DDR memory with speeds of up to 6400 MT/s and optional in-band Error Correction Code (</w:t>
      </w:r>
      <w:r w:rsidR="008C564C">
        <w:rPr>
          <w:rFonts w:cs="Arial"/>
          <w:lang w:val="en-US"/>
        </w:rPr>
        <w:t>IB</w:t>
      </w:r>
      <w:r w:rsidRPr="00376435">
        <w:rPr>
          <w:rFonts w:cs="Arial"/>
          <w:lang w:val="en-US"/>
        </w:rPr>
        <w:t>ECC). Up to 512 GB of onboard UFS 3.1 storage is also available as an option. Networked applications benefit from 2.5 Gigabit Ethernet (GbE), optionally with Time-Coordinated Computing (TCC) and Time-Sensitive Networking (TSN). Up to eight freely configurable PCIe lanes are available for fast data transfer and the connection of low-lane peripherals such as Ethernet, fieldbus adapters, or wireless modules. This eliminates the need for an additional PCIe switch on the carrier board, further simplifying the design.</w:t>
      </w:r>
    </w:p>
    <w:p w14:paraId="461C9AA4" w14:textId="77777777" w:rsidR="006A776F" w:rsidRPr="00376435" w:rsidRDefault="006A776F" w:rsidP="00061C51">
      <w:pPr>
        <w:rPr>
          <w:rFonts w:cs="Arial"/>
          <w:szCs w:val="22"/>
          <w:lang w:val="en-US"/>
        </w:rPr>
      </w:pPr>
    </w:p>
    <w:p w14:paraId="22B5DAAE" w14:textId="1463999C" w:rsidR="00B06EAF" w:rsidRPr="00376435" w:rsidRDefault="006A776F" w:rsidP="00126DCB">
      <w:pPr>
        <w:rPr>
          <w:rFonts w:cs="Arial"/>
          <w:lang w:val="en-US"/>
        </w:rPr>
      </w:pPr>
      <w:r w:rsidRPr="00376435">
        <w:rPr>
          <w:rFonts w:cs="Arial"/>
          <w:lang w:val="en-US"/>
        </w:rPr>
        <w:t xml:space="preserve">Up to two DDI ports, one LVDS port, or one eDP port are available for connecting displays. Additional interfaces include </w:t>
      </w:r>
      <w:r w:rsidR="002472A5">
        <w:rPr>
          <w:rFonts w:cs="Arial"/>
          <w:lang w:val="en-US"/>
        </w:rPr>
        <w:t xml:space="preserve">up to </w:t>
      </w:r>
      <w:r w:rsidRPr="00376435">
        <w:rPr>
          <w:rFonts w:cs="Arial"/>
          <w:lang w:val="en-US"/>
        </w:rPr>
        <w:t xml:space="preserve">2x USB4, </w:t>
      </w:r>
      <w:r w:rsidR="00A36890">
        <w:rPr>
          <w:rFonts w:cs="Arial"/>
          <w:lang w:val="en-US"/>
        </w:rPr>
        <w:t>4</w:t>
      </w:r>
      <w:r w:rsidRPr="00376435">
        <w:rPr>
          <w:rFonts w:cs="Arial"/>
          <w:lang w:val="en-US"/>
        </w:rPr>
        <w:t xml:space="preserve">x USB3.2, </w:t>
      </w:r>
      <w:r w:rsidR="00803EE9">
        <w:rPr>
          <w:rFonts w:cs="Arial"/>
          <w:lang w:val="en-US"/>
        </w:rPr>
        <w:t>4</w:t>
      </w:r>
      <w:r w:rsidRPr="00376435">
        <w:rPr>
          <w:rFonts w:cs="Arial"/>
          <w:lang w:val="en-US"/>
        </w:rPr>
        <w:t>x USB2.0, 2x SATA, 2x UART, GPIOs, GP SPI, eSPI, SM Bus, HDA, and I2C. On the software side, congatec supports users with a Board Management Controller, multi-stage watchdog, and various embedded BIOS features. A Trusted Platform Module (TPM 2.0) ensures the necessary security.</w:t>
      </w:r>
    </w:p>
    <w:p w14:paraId="339284D3" w14:textId="77777777" w:rsidR="006A776F" w:rsidRPr="00376435" w:rsidRDefault="006A776F" w:rsidP="00126DCB">
      <w:pPr>
        <w:rPr>
          <w:lang w:val="en-US"/>
        </w:rPr>
      </w:pPr>
    </w:p>
    <w:p w14:paraId="2C8B9BDB" w14:textId="04D8DF51" w:rsidR="00F45442" w:rsidRPr="00376435" w:rsidRDefault="006A776F" w:rsidP="001C7F8F">
      <w:pPr>
        <w:rPr>
          <w:color w:val="000000" w:themeColor="text1"/>
          <w:lang w:val="en-US"/>
        </w:rPr>
      </w:pPr>
      <w:r w:rsidRPr="00376435">
        <w:rPr>
          <w:color w:val="000000" w:themeColor="text1"/>
          <w:lang w:val="en-US"/>
        </w:rPr>
        <w:lastRenderedPageBreak/>
        <w:t xml:space="preserve">Supported operating systems include Microsoft Windows 11, Windows 11 IoT Enterprise, and Linux. As application-ready aReady.COMs, the modules are available preconfigured with licensed </w:t>
      </w:r>
      <w:hyperlink r:id="rId11" w:history="1">
        <w:r w:rsidRPr="00376435">
          <w:rPr>
            <w:rStyle w:val="Hyperlink"/>
            <w:lang w:val="en-US"/>
          </w:rPr>
          <w:t>ctrlX OS</w:t>
        </w:r>
      </w:hyperlink>
      <w:r w:rsidRPr="00376435">
        <w:rPr>
          <w:color w:val="000000" w:themeColor="text1"/>
          <w:lang w:val="en-US"/>
        </w:rPr>
        <w:t xml:space="preserve">, </w:t>
      </w:r>
      <w:hyperlink r:id="rId12" w:history="1">
        <w:r w:rsidRPr="00376435">
          <w:rPr>
            <w:rStyle w:val="Hyperlink"/>
            <w:lang w:val="en-US"/>
          </w:rPr>
          <w:t>Ubuntu Pro</w:t>
        </w:r>
      </w:hyperlink>
      <w:r w:rsidRPr="00376435">
        <w:rPr>
          <w:color w:val="000000" w:themeColor="text1"/>
          <w:lang w:val="en-US"/>
        </w:rPr>
        <w:t>, and KontronOS</w:t>
      </w:r>
      <w:r w:rsidR="00196B81">
        <w:rPr>
          <w:color w:val="000000" w:themeColor="text1"/>
          <w:lang w:val="en-US"/>
        </w:rPr>
        <w:t xml:space="preserve"> operating systems</w:t>
      </w:r>
      <w:r w:rsidRPr="00376435">
        <w:rPr>
          <w:color w:val="000000" w:themeColor="text1"/>
          <w:lang w:val="en-US"/>
        </w:rPr>
        <w:t xml:space="preserve">. The aReady.VT option, featuring integrated conga-zones hypervisor and virtualization technologies, enables developers to consolidate multiple workloads—such as real-time control, HMI, AI, and IoT gateway functions—onto a single module. For IIoT connectivity, congatec offers aReady.IOT software building blocks. As conga-connect, they enable data exchange, remote maintenance, and management of the module, carrier boards, and peripherals, as well as cloud connectivity, as needed. To further simplify application development, congatec offers a comprehensive supporting ecosystem that includes evaluation and application carrier boards, customized cooling solutions, comprehensive documentation, design-in services, and high-speed signal integrity measurements. With aReady.YOURS, OEMs can also take advantage of congatec’s comprehensive hardware and software customization services to obtain </w:t>
      </w:r>
      <w:r w:rsidR="00E37390" w:rsidRPr="006814DA">
        <w:rPr>
          <w:color w:val="000000" w:themeColor="text1"/>
          <w:lang w:val="en-US"/>
        </w:rPr>
        <w:t>turnkey-level embedded computing platforms</w:t>
      </w:r>
      <w:r w:rsidRPr="00376435">
        <w:rPr>
          <w:color w:val="000000" w:themeColor="text1"/>
          <w:lang w:val="en-US"/>
        </w:rPr>
        <w:t>, including advanced cooling solutions.</w:t>
      </w:r>
    </w:p>
    <w:p w14:paraId="7BEB649A" w14:textId="77777777" w:rsidR="006A776F" w:rsidRPr="00376435" w:rsidRDefault="006A776F" w:rsidP="001C7F8F">
      <w:pPr>
        <w:rPr>
          <w:color w:val="000000" w:themeColor="text1"/>
          <w:lang w:val="en-US"/>
        </w:rPr>
      </w:pPr>
    </w:p>
    <w:p w14:paraId="6ED93CFA" w14:textId="4C08B356" w:rsidR="00126DCB" w:rsidRPr="00376435" w:rsidRDefault="006A776F" w:rsidP="00061C51">
      <w:pPr>
        <w:rPr>
          <w:rFonts w:cs="Arial"/>
          <w:szCs w:val="22"/>
          <w:lang w:val="en-US"/>
        </w:rPr>
      </w:pPr>
      <w:r w:rsidRPr="00376435">
        <w:rPr>
          <w:color w:val="000000" w:themeColor="text1"/>
          <w:lang w:val="en-US"/>
        </w:rPr>
        <w:t xml:space="preserve">The new conga-TC300 </w:t>
      </w:r>
      <w:r w:rsidR="00B300CF">
        <w:rPr>
          <w:color w:val="000000" w:themeColor="text1"/>
          <w:lang w:val="en-US"/>
        </w:rPr>
        <w:t xml:space="preserve">processor variants </w:t>
      </w:r>
      <w:r w:rsidRPr="00376435">
        <w:rPr>
          <w:color w:val="000000" w:themeColor="text1"/>
          <w:lang w:val="en-US"/>
        </w:rPr>
        <w:t>at a glance:</w:t>
      </w:r>
    </w:p>
    <w:tbl>
      <w:tblPr>
        <w:tblW w:w="8720" w:type="dxa"/>
        <w:tblLayout w:type="fixed"/>
        <w:tblLook w:val="0400" w:firstRow="0" w:lastRow="0" w:firstColumn="0" w:lastColumn="0" w:noHBand="0" w:noVBand="1"/>
      </w:tblPr>
      <w:tblGrid>
        <w:gridCol w:w="2127"/>
        <w:gridCol w:w="254"/>
        <w:gridCol w:w="907"/>
        <w:gridCol w:w="236"/>
        <w:gridCol w:w="1191"/>
        <w:gridCol w:w="236"/>
        <w:gridCol w:w="1191"/>
        <w:gridCol w:w="236"/>
        <w:gridCol w:w="236"/>
        <w:gridCol w:w="1020"/>
        <w:gridCol w:w="236"/>
        <w:gridCol w:w="850"/>
      </w:tblGrid>
      <w:tr w:rsidR="00B06EAF" w14:paraId="1E89ADB6" w14:textId="77777777">
        <w:tc>
          <w:tcPr>
            <w:tcW w:w="2127" w:type="dxa"/>
            <w:tcBorders>
              <w:bottom w:val="single" w:sz="4" w:space="0" w:color="000000"/>
            </w:tcBorders>
            <w:vAlign w:val="center"/>
          </w:tcPr>
          <w:p w14:paraId="0ADD8869" w14:textId="58356F72" w:rsidR="00B06EAF" w:rsidRDefault="006A776F">
            <w:pPr>
              <w:spacing w:line="240" w:lineRule="auto"/>
              <w:rPr>
                <w:b/>
                <w:sz w:val="16"/>
                <w:szCs w:val="16"/>
              </w:rPr>
            </w:pPr>
            <w:r>
              <w:rPr>
                <w:b/>
                <w:sz w:val="16"/>
                <w:szCs w:val="16"/>
              </w:rPr>
              <w:t>CPU</w:t>
            </w:r>
          </w:p>
        </w:tc>
        <w:tc>
          <w:tcPr>
            <w:tcW w:w="254" w:type="dxa"/>
            <w:vAlign w:val="center"/>
          </w:tcPr>
          <w:p w14:paraId="6FC6E927" w14:textId="77777777" w:rsidR="00B06EAF" w:rsidRDefault="00B06EAF">
            <w:pPr>
              <w:spacing w:line="240" w:lineRule="auto"/>
              <w:rPr>
                <w:b/>
                <w:sz w:val="16"/>
                <w:szCs w:val="16"/>
              </w:rPr>
            </w:pPr>
          </w:p>
        </w:tc>
        <w:tc>
          <w:tcPr>
            <w:tcW w:w="907" w:type="dxa"/>
            <w:tcBorders>
              <w:bottom w:val="single" w:sz="4" w:space="0" w:color="000000"/>
            </w:tcBorders>
            <w:vAlign w:val="center"/>
          </w:tcPr>
          <w:p w14:paraId="3CEB622C" w14:textId="1155100F" w:rsidR="00B06EAF" w:rsidRDefault="00B06EAF">
            <w:pPr>
              <w:spacing w:line="240" w:lineRule="auto"/>
              <w:jc w:val="center"/>
              <w:rPr>
                <w:b/>
                <w:sz w:val="16"/>
                <w:szCs w:val="16"/>
              </w:rPr>
            </w:pPr>
            <w:r>
              <w:rPr>
                <w:b/>
                <w:sz w:val="16"/>
                <w:szCs w:val="16"/>
              </w:rPr>
              <w:t>Cores/</w:t>
            </w:r>
            <w:r>
              <w:rPr>
                <w:b/>
                <w:sz w:val="16"/>
                <w:szCs w:val="16"/>
              </w:rPr>
              <w:br/>
              <w:t xml:space="preserve">(P + </w:t>
            </w:r>
            <w:r w:rsidR="00D5634E">
              <w:rPr>
                <w:b/>
                <w:sz w:val="16"/>
                <w:szCs w:val="16"/>
              </w:rPr>
              <w:t xml:space="preserve">LP </w:t>
            </w:r>
            <w:r>
              <w:rPr>
                <w:b/>
                <w:sz w:val="16"/>
                <w:szCs w:val="16"/>
              </w:rPr>
              <w:t>E)</w:t>
            </w:r>
          </w:p>
        </w:tc>
        <w:tc>
          <w:tcPr>
            <w:tcW w:w="236" w:type="dxa"/>
            <w:vAlign w:val="center"/>
          </w:tcPr>
          <w:p w14:paraId="2D220621" w14:textId="77777777" w:rsidR="00B06EAF" w:rsidRDefault="00B06EAF">
            <w:pPr>
              <w:spacing w:line="240" w:lineRule="auto"/>
              <w:jc w:val="center"/>
              <w:rPr>
                <w:b/>
                <w:sz w:val="16"/>
                <w:szCs w:val="16"/>
              </w:rPr>
            </w:pPr>
          </w:p>
        </w:tc>
        <w:tc>
          <w:tcPr>
            <w:tcW w:w="1191" w:type="dxa"/>
            <w:tcBorders>
              <w:bottom w:val="single" w:sz="4" w:space="0" w:color="000000"/>
            </w:tcBorders>
            <w:vAlign w:val="center"/>
          </w:tcPr>
          <w:p w14:paraId="0D51F928" w14:textId="118B8393" w:rsidR="00B06EAF" w:rsidRPr="00376435" w:rsidRDefault="00B06EAF">
            <w:pPr>
              <w:spacing w:line="240" w:lineRule="auto"/>
              <w:jc w:val="center"/>
              <w:rPr>
                <w:b/>
                <w:sz w:val="16"/>
                <w:szCs w:val="16"/>
                <w:lang w:val="en-US"/>
              </w:rPr>
            </w:pPr>
            <w:r w:rsidRPr="00376435">
              <w:rPr>
                <w:b/>
                <w:sz w:val="16"/>
                <w:szCs w:val="16"/>
                <w:lang w:val="en-US"/>
              </w:rPr>
              <w:t>P-cores</w:t>
            </w:r>
            <w:r w:rsidR="00DB4DF1">
              <w:rPr>
                <w:b/>
                <w:sz w:val="16"/>
                <w:szCs w:val="16"/>
                <w:lang w:val="en-US"/>
              </w:rPr>
              <w:t xml:space="preserve"> Base</w:t>
            </w:r>
            <w:r w:rsidRPr="00376435">
              <w:rPr>
                <w:b/>
                <w:sz w:val="16"/>
                <w:szCs w:val="16"/>
                <w:lang w:val="en-US"/>
              </w:rPr>
              <w:br/>
            </w:r>
            <w:r w:rsidR="006A776F" w:rsidRPr="00376435">
              <w:rPr>
                <w:b/>
                <w:sz w:val="16"/>
                <w:szCs w:val="16"/>
                <w:lang w:val="en-US"/>
              </w:rPr>
              <w:t>Frequency</w:t>
            </w:r>
            <w:r w:rsidRPr="00376435">
              <w:rPr>
                <w:b/>
                <w:sz w:val="16"/>
                <w:szCs w:val="16"/>
                <w:lang w:val="en-US"/>
              </w:rPr>
              <w:t xml:space="preserve"> [GHz] </w:t>
            </w:r>
          </w:p>
          <w:p w14:paraId="1CD02CDB" w14:textId="04D4D6E4" w:rsidR="00B06EAF" w:rsidRPr="00376435" w:rsidRDefault="00B06EAF">
            <w:pPr>
              <w:spacing w:line="240" w:lineRule="auto"/>
              <w:jc w:val="center"/>
              <w:rPr>
                <w:b/>
                <w:sz w:val="16"/>
                <w:szCs w:val="16"/>
                <w:lang w:val="en-US"/>
              </w:rPr>
            </w:pPr>
          </w:p>
        </w:tc>
        <w:tc>
          <w:tcPr>
            <w:tcW w:w="236" w:type="dxa"/>
          </w:tcPr>
          <w:p w14:paraId="79557F4F" w14:textId="77777777" w:rsidR="00B06EAF" w:rsidRPr="00376435" w:rsidRDefault="00B06EAF">
            <w:pPr>
              <w:spacing w:line="240" w:lineRule="auto"/>
              <w:jc w:val="center"/>
              <w:rPr>
                <w:b/>
                <w:sz w:val="16"/>
                <w:szCs w:val="16"/>
                <w:lang w:val="en-US"/>
              </w:rPr>
            </w:pPr>
          </w:p>
        </w:tc>
        <w:tc>
          <w:tcPr>
            <w:tcW w:w="1191" w:type="dxa"/>
            <w:tcBorders>
              <w:bottom w:val="single" w:sz="4" w:space="0" w:color="000000"/>
            </w:tcBorders>
            <w:vAlign w:val="center"/>
          </w:tcPr>
          <w:p w14:paraId="6001EAEA" w14:textId="141ABDAC" w:rsidR="00B06EAF" w:rsidRPr="00632960" w:rsidRDefault="00596E44">
            <w:pPr>
              <w:spacing w:line="240" w:lineRule="auto"/>
              <w:jc w:val="center"/>
              <w:rPr>
                <w:b/>
                <w:sz w:val="16"/>
                <w:szCs w:val="16"/>
                <w:lang w:val="en-US"/>
              </w:rPr>
            </w:pPr>
            <w:r w:rsidRPr="00596E44">
              <w:rPr>
                <w:b/>
                <w:sz w:val="16"/>
                <w:szCs w:val="16"/>
                <w:lang w:val="en-US"/>
              </w:rPr>
              <w:t>P</w:t>
            </w:r>
            <w:r w:rsidR="00B06EAF" w:rsidRPr="00596E44">
              <w:rPr>
                <w:b/>
                <w:sz w:val="16"/>
                <w:szCs w:val="16"/>
                <w:lang w:val="en-US"/>
              </w:rPr>
              <w:t>-cores</w:t>
            </w:r>
            <w:r w:rsidR="00B06EAF" w:rsidRPr="00596E44">
              <w:rPr>
                <w:b/>
                <w:sz w:val="16"/>
                <w:szCs w:val="16"/>
                <w:lang w:val="en-US"/>
              </w:rPr>
              <w:br/>
            </w:r>
            <w:r w:rsidR="00A31E6B">
              <w:rPr>
                <w:b/>
                <w:sz w:val="16"/>
                <w:szCs w:val="16"/>
                <w:lang w:val="en-US"/>
              </w:rPr>
              <w:t xml:space="preserve">max. </w:t>
            </w:r>
            <w:r w:rsidR="001A49C4">
              <w:rPr>
                <w:b/>
                <w:sz w:val="16"/>
                <w:szCs w:val="16"/>
                <w:lang w:val="en-US"/>
              </w:rPr>
              <w:t>Turbo Frequency</w:t>
            </w:r>
            <w:r w:rsidR="00B06EAF" w:rsidRPr="00596E44">
              <w:rPr>
                <w:b/>
                <w:sz w:val="16"/>
                <w:szCs w:val="16"/>
                <w:lang w:val="en-US"/>
              </w:rPr>
              <w:t xml:space="preserve"> [GHz]</w:t>
            </w:r>
            <w:r w:rsidR="00B06EAF" w:rsidRPr="00596E44">
              <w:rPr>
                <w:b/>
                <w:sz w:val="16"/>
                <w:szCs w:val="16"/>
                <w:lang w:val="en-US"/>
              </w:rPr>
              <w:br/>
            </w:r>
          </w:p>
        </w:tc>
        <w:tc>
          <w:tcPr>
            <w:tcW w:w="236" w:type="dxa"/>
          </w:tcPr>
          <w:p w14:paraId="449DFE88" w14:textId="77777777" w:rsidR="00B06EAF" w:rsidRPr="00632960" w:rsidRDefault="00B06EAF">
            <w:pPr>
              <w:spacing w:line="240" w:lineRule="auto"/>
              <w:jc w:val="center"/>
              <w:rPr>
                <w:b/>
                <w:sz w:val="16"/>
                <w:szCs w:val="16"/>
                <w:lang w:val="en-US"/>
              </w:rPr>
            </w:pPr>
          </w:p>
        </w:tc>
        <w:tc>
          <w:tcPr>
            <w:tcW w:w="236" w:type="dxa"/>
            <w:vAlign w:val="center"/>
          </w:tcPr>
          <w:p w14:paraId="7C3A73FB" w14:textId="77777777" w:rsidR="00B06EAF" w:rsidRPr="00632960" w:rsidRDefault="00B06EAF">
            <w:pPr>
              <w:spacing w:line="240" w:lineRule="auto"/>
              <w:jc w:val="center"/>
              <w:rPr>
                <w:b/>
                <w:sz w:val="16"/>
                <w:szCs w:val="16"/>
                <w:lang w:val="en-US"/>
              </w:rPr>
            </w:pPr>
          </w:p>
        </w:tc>
        <w:tc>
          <w:tcPr>
            <w:tcW w:w="1020" w:type="dxa"/>
            <w:tcBorders>
              <w:bottom w:val="single" w:sz="4" w:space="0" w:color="000000"/>
            </w:tcBorders>
            <w:vAlign w:val="center"/>
          </w:tcPr>
          <w:p w14:paraId="69805672" w14:textId="537DCE05" w:rsidR="00B06EAF" w:rsidRDefault="00A57F0C">
            <w:pPr>
              <w:spacing w:line="240" w:lineRule="auto"/>
              <w:jc w:val="center"/>
              <w:rPr>
                <w:b/>
                <w:sz w:val="16"/>
                <w:szCs w:val="16"/>
              </w:rPr>
            </w:pPr>
            <w:r>
              <w:rPr>
                <w:b/>
                <w:sz w:val="16"/>
                <w:szCs w:val="16"/>
              </w:rPr>
              <w:t xml:space="preserve">Graphic </w:t>
            </w:r>
            <w:r w:rsidR="00B06EAF">
              <w:rPr>
                <w:b/>
                <w:sz w:val="16"/>
                <w:szCs w:val="16"/>
              </w:rPr>
              <w:t>EUs</w:t>
            </w:r>
          </w:p>
        </w:tc>
        <w:tc>
          <w:tcPr>
            <w:tcW w:w="236" w:type="dxa"/>
            <w:vAlign w:val="center"/>
          </w:tcPr>
          <w:p w14:paraId="7B8153C3" w14:textId="77777777" w:rsidR="00B06EAF" w:rsidRDefault="00B06EAF">
            <w:pPr>
              <w:spacing w:line="240" w:lineRule="auto"/>
              <w:jc w:val="center"/>
              <w:rPr>
                <w:b/>
                <w:sz w:val="16"/>
                <w:szCs w:val="16"/>
              </w:rPr>
            </w:pPr>
          </w:p>
        </w:tc>
        <w:tc>
          <w:tcPr>
            <w:tcW w:w="850" w:type="dxa"/>
            <w:tcBorders>
              <w:bottom w:val="single" w:sz="4" w:space="0" w:color="000000"/>
            </w:tcBorders>
            <w:vAlign w:val="center"/>
          </w:tcPr>
          <w:p w14:paraId="2B7765D0" w14:textId="77777777" w:rsidR="00B06EAF" w:rsidRDefault="00B06EAF">
            <w:pPr>
              <w:spacing w:line="240" w:lineRule="auto"/>
              <w:jc w:val="center"/>
              <w:rPr>
                <w:b/>
                <w:color w:val="262626"/>
                <w:sz w:val="16"/>
                <w:szCs w:val="16"/>
              </w:rPr>
            </w:pPr>
            <w:r>
              <w:rPr>
                <w:b/>
                <w:sz w:val="16"/>
                <w:szCs w:val="16"/>
              </w:rPr>
              <w:t>CPU Base Power [W]</w:t>
            </w:r>
          </w:p>
        </w:tc>
      </w:tr>
      <w:tr w:rsidR="00B06EAF" w14:paraId="565D098C" w14:textId="77777777">
        <w:tc>
          <w:tcPr>
            <w:tcW w:w="2127" w:type="dxa"/>
            <w:tcBorders>
              <w:top w:val="single" w:sz="4" w:space="0" w:color="000000"/>
              <w:bottom w:val="single" w:sz="4" w:space="0" w:color="000000"/>
            </w:tcBorders>
            <w:vAlign w:val="center"/>
          </w:tcPr>
          <w:p w14:paraId="22D9EE18" w14:textId="65319E02" w:rsidR="00B06EAF" w:rsidRDefault="00B06EAF">
            <w:pPr>
              <w:spacing w:line="240" w:lineRule="auto"/>
              <w:rPr>
                <w:sz w:val="16"/>
                <w:szCs w:val="16"/>
              </w:rPr>
            </w:pPr>
            <w:r>
              <w:rPr>
                <w:sz w:val="16"/>
                <w:szCs w:val="16"/>
              </w:rPr>
              <w:t xml:space="preserve">Intel Core </w:t>
            </w:r>
            <w:r w:rsidR="006F7002">
              <w:rPr>
                <w:sz w:val="16"/>
                <w:szCs w:val="16"/>
              </w:rPr>
              <w:t>7</w:t>
            </w:r>
            <w:r w:rsidR="009C76D1">
              <w:rPr>
                <w:sz w:val="16"/>
                <w:szCs w:val="16"/>
              </w:rPr>
              <w:t xml:space="preserve"> 350</w:t>
            </w:r>
          </w:p>
        </w:tc>
        <w:tc>
          <w:tcPr>
            <w:tcW w:w="254" w:type="dxa"/>
            <w:vAlign w:val="center"/>
          </w:tcPr>
          <w:p w14:paraId="1D8FD36E" w14:textId="77777777" w:rsidR="00B06EAF" w:rsidRDefault="00B06EAF">
            <w:pPr>
              <w:spacing w:line="240" w:lineRule="auto"/>
              <w:rPr>
                <w:sz w:val="16"/>
                <w:szCs w:val="16"/>
              </w:rPr>
            </w:pPr>
          </w:p>
        </w:tc>
        <w:tc>
          <w:tcPr>
            <w:tcW w:w="907" w:type="dxa"/>
            <w:tcBorders>
              <w:top w:val="single" w:sz="4" w:space="0" w:color="000000"/>
              <w:bottom w:val="single" w:sz="4" w:space="0" w:color="000000"/>
            </w:tcBorders>
            <w:vAlign w:val="center"/>
          </w:tcPr>
          <w:p w14:paraId="31AEEC18" w14:textId="34279F57" w:rsidR="00B06EAF" w:rsidRDefault="006F7002">
            <w:pPr>
              <w:spacing w:line="240" w:lineRule="auto"/>
              <w:jc w:val="center"/>
              <w:rPr>
                <w:sz w:val="16"/>
                <w:szCs w:val="16"/>
              </w:rPr>
            </w:pPr>
            <w:r>
              <w:rPr>
                <w:sz w:val="16"/>
                <w:szCs w:val="16"/>
              </w:rPr>
              <w:t>6</w:t>
            </w:r>
            <w:r w:rsidR="00B06EAF">
              <w:rPr>
                <w:sz w:val="16"/>
                <w:szCs w:val="16"/>
              </w:rPr>
              <w:t xml:space="preserve"> (</w:t>
            </w:r>
            <w:r>
              <w:rPr>
                <w:sz w:val="16"/>
                <w:szCs w:val="16"/>
              </w:rPr>
              <w:t>2</w:t>
            </w:r>
            <w:r w:rsidR="002827A9">
              <w:rPr>
                <w:sz w:val="16"/>
                <w:szCs w:val="16"/>
              </w:rPr>
              <w:t>+</w:t>
            </w:r>
            <w:r>
              <w:rPr>
                <w:sz w:val="16"/>
                <w:szCs w:val="16"/>
              </w:rPr>
              <w:t>4</w:t>
            </w:r>
            <w:r w:rsidR="00B06EAF">
              <w:rPr>
                <w:sz w:val="16"/>
                <w:szCs w:val="16"/>
              </w:rPr>
              <w:t>)</w:t>
            </w:r>
          </w:p>
        </w:tc>
        <w:tc>
          <w:tcPr>
            <w:tcW w:w="236" w:type="dxa"/>
            <w:vAlign w:val="center"/>
          </w:tcPr>
          <w:p w14:paraId="1EA412FD" w14:textId="77777777" w:rsidR="00B06EAF" w:rsidRDefault="00B06EAF">
            <w:pPr>
              <w:spacing w:line="240" w:lineRule="auto"/>
              <w:jc w:val="center"/>
              <w:rPr>
                <w:sz w:val="16"/>
                <w:szCs w:val="16"/>
              </w:rPr>
            </w:pPr>
          </w:p>
        </w:tc>
        <w:tc>
          <w:tcPr>
            <w:tcW w:w="1191" w:type="dxa"/>
            <w:tcBorders>
              <w:top w:val="single" w:sz="4" w:space="0" w:color="000000"/>
              <w:bottom w:val="single" w:sz="4" w:space="0" w:color="000000"/>
            </w:tcBorders>
            <w:vAlign w:val="center"/>
          </w:tcPr>
          <w:p w14:paraId="17792537" w14:textId="020981A9" w:rsidR="00B06EAF" w:rsidRDefault="005933F7">
            <w:pPr>
              <w:spacing w:line="240" w:lineRule="auto"/>
              <w:jc w:val="center"/>
              <w:rPr>
                <w:sz w:val="16"/>
                <w:szCs w:val="16"/>
              </w:rPr>
            </w:pPr>
            <w:r>
              <w:rPr>
                <w:sz w:val="16"/>
                <w:szCs w:val="16"/>
              </w:rPr>
              <w:t>1,5</w:t>
            </w:r>
          </w:p>
        </w:tc>
        <w:tc>
          <w:tcPr>
            <w:tcW w:w="236" w:type="dxa"/>
          </w:tcPr>
          <w:p w14:paraId="1D957664" w14:textId="77777777" w:rsidR="00B06EAF" w:rsidRDefault="00B06EAF">
            <w:pPr>
              <w:spacing w:line="240" w:lineRule="auto"/>
              <w:jc w:val="center"/>
              <w:rPr>
                <w:sz w:val="16"/>
                <w:szCs w:val="16"/>
              </w:rPr>
            </w:pPr>
          </w:p>
        </w:tc>
        <w:tc>
          <w:tcPr>
            <w:tcW w:w="1191" w:type="dxa"/>
            <w:tcBorders>
              <w:top w:val="single" w:sz="4" w:space="0" w:color="000000"/>
              <w:bottom w:val="single" w:sz="4" w:space="0" w:color="000000"/>
            </w:tcBorders>
            <w:vAlign w:val="center"/>
          </w:tcPr>
          <w:p w14:paraId="09EB91C7" w14:textId="15EB4339" w:rsidR="00B06EAF" w:rsidRDefault="005403ED">
            <w:pPr>
              <w:spacing w:line="240" w:lineRule="auto"/>
              <w:jc w:val="center"/>
              <w:rPr>
                <w:sz w:val="16"/>
                <w:szCs w:val="16"/>
              </w:rPr>
            </w:pPr>
            <w:r>
              <w:rPr>
                <w:sz w:val="16"/>
                <w:szCs w:val="16"/>
              </w:rPr>
              <w:t>4,8</w:t>
            </w:r>
          </w:p>
        </w:tc>
        <w:tc>
          <w:tcPr>
            <w:tcW w:w="236" w:type="dxa"/>
          </w:tcPr>
          <w:p w14:paraId="2D4442A8" w14:textId="77777777" w:rsidR="00B06EAF" w:rsidRDefault="00B06EAF">
            <w:pPr>
              <w:spacing w:line="240" w:lineRule="auto"/>
              <w:jc w:val="center"/>
              <w:rPr>
                <w:sz w:val="16"/>
                <w:szCs w:val="16"/>
              </w:rPr>
            </w:pPr>
          </w:p>
        </w:tc>
        <w:tc>
          <w:tcPr>
            <w:tcW w:w="236" w:type="dxa"/>
            <w:vAlign w:val="center"/>
          </w:tcPr>
          <w:p w14:paraId="2EBDE5D3" w14:textId="77777777" w:rsidR="00B06EAF" w:rsidRDefault="00B06EAF">
            <w:pPr>
              <w:spacing w:line="240" w:lineRule="auto"/>
              <w:jc w:val="center"/>
              <w:rPr>
                <w:sz w:val="16"/>
                <w:szCs w:val="16"/>
              </w:rPr>
            </w:pPr>
          </w:p>
        </w:tc>
        <w:tc>
          <w:tcPr>
            <w:tcW w:w="1020" w:type="dxa"/>
            <w:tcBorders>
              <w:top w:val="single" w:sz="4" w:space="0" w:color="000000"/>
              <w:bottom w:val="single" w:sz="4" w:space="0" w:color="000000"/>
            </w:tcBorders>
            <w:vAlign w:val="center"/>
          </w:tcPr>
          <w:p w14:paraId="46268B5F" w14:textId="77777777" w:rsidR="00B06EAF" w:rsidRDefault="00B06EAF">
            <w:pPr>
              <w:spacing w:line="240" w:lineRule="auto"/>
              <w:jc w:val="center"/>
              <w:rPr>
                <w:sz w:val="16"/>
                <w:szCs w:val="16"/>
              </w:rPr>
            </w:pPr>
            <w:r>
              <w:rPr>
                <w:sz w:val="16"/>
                <w:szCs w:val="16"/>
              </w:rPr>
              <w:t>32</w:t>
            </w:r>
          </w:p>
        </w:tc>
        <w:tc>
          <w:tcPr>
            <w:tcW w:w="236" w:type="dxa"/>
            <w:vAlign w:val="center"/>
          </w:tcPr>
          <w:p w14:paraId="4FBD8C6F" w14:textId="77777777" w:rsidR="00B06EAF" w:rsidRDefault="00B06EAF">
            <w:pPr>
              <w:spacing w:line="240" w:lineRule="auto"/>
              <w:rPr>
                <w:sz w:val="16"/>
                <w:szCs w:val="16"/>
              </w:rPr>
            </w:pPr>
          </w:p>
        </w:tc>
        <w:tc>
          <w:tcPr>
            <w:tcW w:w="850" w:type="dxa"/>
            <w:tcBorders>
              <w:top w:val="single" w:sz="4" w:space="0" w:color="000000"/>
              <w:bottom w:val="single" w:sz="4" w:space="0" w:color="000000"/>
            </w:tcBorders>
            <w:vAlign w:val="center"/>
          </w:tcPr>
          <w:p w14:paraId="35C15EC2" w14:textId="59650D75" w:rsidR="00B06EAF" w:rsidRDefault="00424319">
            <w:pPr>
              <w:spacing w:line="240" w:lineRule="auto"/>
              <w:jc w:val="center"/>
              <w:rPr>
                <w:sz w:val="16"/>
                <w:szCs w:val="16"/>
              </w:rPr>
            </w:pPr>
            <w:r>
              <w:rPr>
                <w:sz w:val="16"/>
                <w:szCs w:val="16"/>
              </w:rPr>
              <w:t>15</w:t>
            </w:r>
          </w:p>
        </w:tc>
      </w:tr>
      <w:tr w:rsidR="00B06EAF" w14:paraId="0F5E4623" w14:textId="77777777">
        <w:tc>
          <w:tcPr>
            <w:tcW w:w="2127" w:type="dxa"/>
            <w:tcBorders>
              <w:top w:val="single" w:sz="4" w:space="0" w:color="000000"/>
              <w:bottom w:val="single" w:sz="4" w:space="0" w:color="000000"/>
            </w:tcBorders>
            <w:vAlign w:val="center"/>
          </w:tcPr>
          <w:p w14:paraId="4A442E3A" w14:textId="09C96905" w:rsidR="00B06EAF" w:rsidRDefault="00D83324">
            <w:pPr>
              <w:spacing w:line="240" w:lineRule="auto"/>
              <w:rPr>
                <w:sz w:val="16"/>
                <w:szCs w:val="16"/>
              </w:rPr>
            </w:pPr>
            <w:r>
              <w:rPr>
                <w:sz w:val="16"/>
                <w:szCs w:val="16"/>
              </w:rPr>
              <w:t>Intel Core</w:t>
            </w:r>
            <w:r w:rsidR="006F7002">
              <w:rPr>
                <w:sz w:val="16"/>
                <w:szCs w:val="16"/>
              </w:rPr>
              <w:t xml:space="preserve"> 5</w:t>
            </w:r>
            <w:r w:rsidR="009C76D1">
              <w:rPr>
                <w:sz w:val="16"/>
                <w:szCs w:val="16"/>
              </w:rPr>
              <w:t xml:space="preserve"> 320</w:t>
            </w:r>
          </w:p>
        </w:tc>
        <w:tc>
          <w:tcPr>
            <w:tcW w:w="254" w:type="dxa"/>
            <w:vAlign w:val="center"/>
          </w:tcPr>
          <w:p w14:paraId="34AE5644" w14:textId="77777777" w:rsidR="00B06EAF" w:rsidRDefault="00B06EAF">
            <w:pPr>
              <w:spacing w:line="240" w:lineRule="auto"/>
              <w:rPr>
                <w:sz w:val="16"/>
                <w:szCs w:val="16"/>
              </w:rPr>
            </w:pPr>
          </w:p>
        </w:tc>
        <w:tc>
          <w:tcPr>
            <w:tcW w:w="907" w:type="dxa"/>
            <w:tcBorders>
              <w:top w:val="single" w:sz="4" w:space="0" w:color="000000"/>
              <w:bottom w:val="single" w:sz="4" w:space="0" w:color="000000"/>
            </w:tcBorders>
            <w:vAlign w:val="center"/>
          </w:tcPr>
          <w:p w14:paraId="1F303776" w14:textId="72913BD9" w:rsidR="00B06EAF" w:rsidRDefault="006F7002" w:rsidP="006F7002">
            <w:pPr>
              <w:spacing w:line="240" w:lineRule="auto"/>
              <w:jc w:val="center"/>
              <w:rPr>
                <w:sz w:val="16"/>
                <w:szCs w:val="16"/>
              </w:rPr>
            </w:pPr>
            <w:r>
              <w:rPr>
                <w:sz w:val="16"/>
                <w:szCs w:val="16"/>
              </w:rPr>
              <w:t>6</w:t>
            </w:r>
            <w:r w:rsidR="00B06EAF">
              <w:rPr>
                <w:sz w:val="16"/>
                <w:szCs w:val="16"/>
              </w:rPr>
              <w:t xml:space="preserve"> (</w:t>
            </w:r>
            <w:r>
              <w:rPr>
                <w:sz w:val="16"/>
                <w:szCs w:val="16"/>
              </w:rPr>
              <w:t>2</w:t>
            </w:r>
            <w:r w:rsidR="002827A9">
              <w:rPr>
                <w:sz w:val="16"/>
                <w:szCs w:val="16"/>
              </w:rPr>
              <w:t>+</w:t>
            </w:r>
            <w:r>
              <w:rPr>
                <w:sz w:val="16"/>
                <w:szCs w:val="16"/>
              </w:rPr>
              <w:t>4</w:t>
            </w:r>
            <w:r w:rsidR="00B06EAF">
              <w:rPr>
                <w:sz w:val="16"/>
                <w:szCs w:val="16"/>
              </w:rPr>
              <w:t>)</w:t>
            </w:r>
          </w:p>
        </w:tc>
        <w:tc>
          <w:tcPr>
            <w:tcW w:w="236" w:type="dxa"/>
            <w:vAlign w:val="center"/>
          </w:tcPr>
          <w:p w14:paraId="17CC6BA8" w14:textId="77777777" w:rsidR="00B06EAF" w:rsidRDefault="00B06EAF">
            <w:pPr>
              <w:spacing w:line="240" w:lineRule="auto"/>
              <w:rPr>
                <w:sz w:val="16"/>
                <w:szCs w:val="16"/>
              </w:rPr>
            </w:pPr>
          </w:p>
        </w:tc>
        <w:tc>
          <w:tcPr>
            <w:tcW w:w="1191" w:type="dxa"/>
            <w:tcBorders>
              <w:top w:val="single" w:sz="4" w:space="0" w:color="000000"/>
              <w:bottom w:val="single" w:sz="4" w:space="0" w:color="000000"/>
            </w:tcBorders>
            <w:vAlign w:val="center"/>
          </w:tcPr>
          <w:p w14:paraId="184AD1F1" w14:textId="3B738D82" w:rsidR="00B06EAF" w:rsidRDefault="005933F7">
            <w:pPr>
              <w:spacing w:line="240" w:lineRule="auto"/>
              <w:jc w:val="center"/>
              <w:rPr>
                <w:sz w:val="16"/>
                <w:szCs w:val="16"/>
              </w:rPr>
            </w:pPr>
            <w:r>
              <w:rPr>
                <w:sz w:val="16"/>
                <w:szCs w:val="16"/>
              </w:rPr>
              <w:t>1,5</w:t>
            </w:r>
          </w:p>
        </w:tc>
        <w:tc>
          <w:tcPr>
            <w:tcW w:w="236" w:type="dxa"/>
          </w:tcPr>
          <w:p w14:paraId="0964D017" w14:textId="77777777" w:rsidR="00B06EAF" w:rsidRDefault="00B06EAF">
            <w:pPr>
              <w:spacing w:line="240" w:lineRule="auto"/>
              <w:rPr>
                <w:sz w:val="16"/>
                <w:szCs w:val="16"/>
              </w:rPr>
            </w:pPr>
          </w:p>
        </w:tc>
        <w:tc>
          <w:tcPr>
            <w:tcW w:w="1191" w:type="dxa"/>
            <w:tcBorders>
              <w:top w:val="single" w:sz="4" w:space="0" w:color="000000"/>
              <w:bottom w:val="single" w:sz="4" w:space="0" w:color="000000"/>
            </w:tcBorders>
            <w:vAlign w:val="center"/>
          </w:tcPr>
          <w:p w14:paraId="7B8FA50B" w14:textId="7BEEC097" w:rsidR="00B06EAF" w:rsidRDefault="005403ED">
            <w:pPr>
              <w:spacing w:line="240" w:lineRule="auto"/>
              <w:jc w:val="center"/>
              <w:rPr>
                <w:sz w:val="16"/>
                <w:szCs w:val="16"/>
              </w:rPr>
            </w:pPr>
            <w:r>
              <w:rPr>
                <w:sz w:val="16"/>
                <w:szCs w:val="16"/>
              </w:rPr>
              <w:t>4,6</w:t>
            </w:r>
          </w:p>
        </w:tc>
        <w:tc>
          <w:tcPr>
            <w:tcW w:w="236" w:type="dxa"/>
          </w:tcPr>
          <w:p w14:paraId="50BB9B05" w14:textId="77777777" w:rsidR="00B06EAF" w:rsidRDefault="00B06EAF">
            <w:pPr>
              <w:spacing w:line="240" w:lineRule="auto"/>
              <w:rPr>
                <w:sz w:val="16"/>
                <w:szCs w:val="16"/>
              </w:rPr>
            </w:pPr>
          </w:p>
        </w:tc>
        <w:tc>
          <w:tcPr>
            <w:tcW w:w="236" w:type="dxa"/>
            <w:vAlign w:val="center"/>
          </w:tcPr>
          <w:p w14:paraId="4836EAC1" w14:textId="77777777" w:rsidR="00B06EAF" w:rsidRDefault="00B06EAF">
            <w:pPr>
              <w:spacing w:line="240" w:lineRule="auto"/>
              <w:rPr>
                <w:sz w:val="16"/>
                <w:szCs w:val="16"/>
              </w:rPr>
            </w:pPr>
          </w:p>
        </w:tc>
        <w:tc>
          <w:tcPr>
            <w:tcW w:w="1020" w:type="dxa"/>
            <w:tcBorders>
              <w:top w:val="single" w:sz="4" w:space="0" w:color="000000"/>
              <w:bottom w:val="single" w:sz="4" w:space="0" w:color="000000"/>
            </w:tcBorders>
            <w:vAlign w:val="center"/>
          </w:tcPr>
          <w:p w14:paraId="7DD8C314" w14:textId="2AE572C2" w:rsidR="00B06EAF" w:rsidRDefault="00451880">
            <w:pPr>
              <w:spacing w:line="240" w:lineRule="auto"/>
              <w:jc w:val="center"/>
              <w:rPr>
                <w:sz w:val="16"/>
                <w:szCs w:val="16"/>
              </w:rPr>
            </w:pPr>
            <w:r>
              <w:rPr>
                <w:sz w:val="16"/>
                <w:szCs w:val="16"/>
              </w:rPr>
              <w:t>32</w:t>
            </w:r>
          </w:p>
        </w:tc>
        <w:tc>
          <w:tcPr>
            <w:tcW w:w="236" w:type="dxa"/>
            <w:vAlign w:val="center"/>
          </w:tcPr>
          <w:p w14:paraId="7FC0D5B7" w14:textId="77777777" w:rsidR="00B06EAF" w:rsidRDefault="00B06EAF">
            <w:pPr>
              <w:spacing w:line="240" w:lineRule="auto"/>
              <w:rPr>
                <w:sz w:val="16"/>
                <w:szCs w:val="16"/>
              </w:rPr>
            </w:pPr>
          </w:p>
        </w:tc>
        <w:tc>
          <w:tcPr>
            <w:tcW w:w="850" w:type="dxa"/>
            <w:tcBorders>
              <w:top w:val="single" w:sz="4" w:space="0" w:color="000000"/>
              <w:bottom w:val="single" w:sz="4" w:space="0" w:color="000000"/>
            </w:tcBorders>
            <w:vAlign w:val="center"/>
          </w:tcPr>
          <w:p w14:paraId="23D3CCA3" w14:textId="6919ED92" w:rsidR="00B06EAF" w:rsidRDefault="00424319">
            <w:pPr>
              <w:spacing w:line="240" w:lineRule="auto"/>
              <w:jc w:val="center"/>
              <w:rPr>
                <w:sz w:val="16"/>
                <w:szCs w:val="16"/>
              </w:rPr>
            </w:pPr>
            <w:r>
              <w:rPr>
                <w:sz w:val="16"/>
                <w:szCs w:val="16"/>
              </w:rPr>
              <w:t>15</w:t>
            </w:r>
          </w:p>
        </w:tc>
      </w:tr>
      <w:tr w:rsidR="00B06EAF" w14:paraId="79DC8858" w14:textId="77777777">
        <w:tc>
          <w:tcPr>
            <w:tcW w:w="2127" w:type="dxa"/>
            <w:tcBorders>
              <w:top w:val="single" w:sz="4" w:space="0" w:color="000000"/>
            </w:tcBorders>
            <w:vAlign w:val="center"/>
          </w:tcPr>
          <w:p w14:paraId="2EB553AE" w14:textId="5E97D2AB" w:rsidR="00B06EAF" w:rsidRDefault="00D83324">
            <w:pPr>
              <w:spacing w:line="240" w:lineRule="auto"/>
              <w:rPr>
                <w:sz w:val="16"/>
                <w:szCs w:val="16"/>
              </w:rPr>
            </w:pPr>
            <w:r>
              <w:rPr>
                <w:sz w:val="16"/>
                <w:szCs w:val="16"/>
              </w:rPr>
              <w:t xml:space="preserve">Intel Core </w:t>
            </w:r>
            <w:r w:rsidR="006F7002">
              <w:rPr>
                <w:sz w:val="16"/>
                <w:szCs w:val="16"/>
              </w:rPr>
              <w:t>3</w:t>
            </w:r>
            <w:r w:rsidR="009C76D1">
              <w:rPr>
                <w:sz w:val="16"/>
                <w:szCs w:val="16"/>
              </w:rPr>
              <w:t xml:space="preserve"> 305</w:t>
            </w:r>
          </w:p>
        </w:tc>
        <w:tc>
          <w:tcPr>
            <w:tcW w:w="254" w:type="dxa"/>
            <w:vAlign w:val="center"/>
          </w:tcPr>
          <w:p w14:paraId="7D57FF11" w14:textId="77777777" w:rsidR="00B06EAF" w:rsidRDefault="00B06EAF">
            <w:pPr>
              <w:spacing w:line="240" w:lineRule="auto"/>
              <w:rPr>
                <w:sz w:val="16"/>
                <w:szCs w:val="16"/>
              </w:rPr>
            </w:pPr>
          </w:p>
        </w:tc>
        <w:tc>
          <w:tcPr>
            <w:tcW w:w="907" w:type="dxa"/>
            <w:tcBorders>
              <w:top w:val="single" w:sz="4" w:space="0" w:color="000000"/>
            </w:tcBorders>
            <w:vAlign w:val="center"/>
          </w:tcPr>
          <w:p w14:paraId="33E12C9B" w14:textId="21BA837C" w:rsidR="00B06EAF" w:rsidRDefault="00956FFD">
            <w:pPr>
              <w:spacing w:line="240" w:lineRule="auto"/>
              <w:jc w:val="center"/>
              <w:rPr>
                <w:sz w:val="16"/>
                <w:szCs w:val="16"/>
              </w:rPr>
            </w:pPr>
            <w:r>
              <w:rPr>
                <w:sz w:val="16"/>
                <w:szCs w:val="16"/>
              </w:rPr>
              <w:t>6</w:t>
            </w:r>
            <w:r w:rsidR="00B06EAF">
              <w:rPr>
                <w:sz w:val="16"/>
                <w:szCs w:val="16"/>
              </w:rPr>
              <w:t xml:space="preserve"> (</w:t>
            </w:r>
            <w:r>
              <w:rPr>
                <w:sz w:val="16"/>
                <w:szCs w:val="16"/>
              </w:rPr>
              <w:t>2</w:t>
            </w:r>
            <w:r w:rsidR="00B06EAF">
              <w:rPr>
                <w:sz w:val="16"/>
                <w:szCs w:val="16"/>
              </w:rPr>
              <w:t>+</w:t>
            </w:r>
            <w:r w:rsidR="006F7002">
              <w:rPr>
                <w:sz w:val="16"/>
                <w:szCs w:val="16"/>
              </w:rPr>
              <w:t>4</w:t>
            </w:r>
            <w:r w:rsidR="00B06EAF">
              <w:rPr>
                <w:sz w:val="16"/>
                <w:szCs w:val="16"/>
              </w:rPr>
              <w:t>)</w:t>
            </w:r>
          </w:p>
        </w:tc>
        <w:tc>
          <w:tcPr>
            <w:tcW w:w="236" w:type="dxa"/>
            <w:vAlign w:val="center"/>
          </w:tcPr>
          <w:p w14:paraId="607912D8" w14:textId="77777777" w:rsidR="00B06EAF" w:rsidRDefault="00B06EAF">
            <w:pPr>
              <w:spacing w:line="240" w:lineRule="auto"/>
              <w:jc w:val="center"/>
              <w:rPr>
                <w:sz w:val="16"/>
                <w:szCs w:val="16"/>
              </w:rPr>
            </w:pPr>
          </w:p>
        </w:tc>
        <w:tc>
          <w:tcPr>
            <w:tcW w:w="1191" w:type="dxa"/>
            <w:tcBorders>
              <w:top w:val="single" w:sz="4" w:space="0" w:color="000000"/>
            </w:tcBorders>
            <w:vAlign w:val="center"/>
          </w:tcPr>
          <w:p w14:paraId="1FD4CED3" w14:textId="67BE5C85" w:rsidR="00B06EAF" w:rsidRDefault="00596E44">
            <w:pPr>
              <w:spacing w:line="240" w:lineRule="auto"/>
              <w:jc w:val="center"/>
              <w:rPr>
                <w:sz w:val="16"/>
                <w:szCs w:val="16"/>
              </w:rPr>
            </w:pPr>
            <w:r>
              <w:rPr>
                <w:sz w:val="16"/>
                <w:szCs w:val="16"/>
              </w:rPr>
              <w:t>1,</w:t>
            </w:r>
            <w:r w:rsidR="005933F7">
              <w:rPr>
                <w:sz w:val="16"/>
                <w:szCs w:val="16"/>
              </w:rPr>
              <w:t>5</w:t>
            </w:r>
          </w:p>
        </w:tc>
        <w:tc>
          <w:tcPr>
            <w:tcW w:w="236" w:type="dxa"/>
          </w:tcPr>
          <w:p w14:paraId="420F2CC6" w14:textId="77777777" w:rsidR="00B06EAF" w:rsidRDefault="00B06EAF">
            <w:pPr>
              <w:spacing w:line="240" w:lineRule="auto"/>
              <w:jc w:val="center"/>
              <w:rPr>
                <w:sz w:val="16"/>
                <w:szCs w:val="16"/>
              </w:rPr>
            </w:pPr>
          </w:p>
        </w:tc>
        <w:tc>
          <w:tcPr>
            <w:tcW w:w="1191" w:type="dxa"/>
            <w:tcBorders>
              <w:top w:val="single" w:sz="4" w:space="0" w:color="000000"/>
            </w:tcBorders>
            <w:vAlign w:val="center"/>
          </w:tcPr>
          <w:p w14:paraId="5B3583A4" w14:textId="0F60F923" w:rsidR="00B06EAF" w:rsidRDefault="00632960">
            <w:pPr>
              <w:spacing w:line="240" w:lineRule="auto"/>
              <w:jc w:val="center"/>
              <w:rPr>
                <w:sz w:val="16"/>
                <w:szCs w:val="16"/>
              </w:rPr>
            </w:pPr>
            <w:r>
              <w:rPr>
                <w:sz w:val="16"/>
                <w:szCs w:val="16"/>
              </w:rPr>
              <w:t>4,</w:t>
            </w:r>
            <w:r w:rsidR="005403ED">
              <w:rPr>
                <w:sz w:val="16"/>
                <w:szCs w:val="16"/>
              </w:rPr>
              <w:t>3</w:t>
            </w:r>
          </w:p>
        </w:tc>
        <w:tc>
          <w:tcPr>
            <w:tcW w:w="236" w:type="dxa"/>
          </w:tcPr>
          <w:p w14:paraId="2F081102" w14:textId="77777777" w:rsidR="00B06EAF" w:rsidRDefault="00B06EAF">
            <w:pPr>
              <w:spacing w:line="240" w:lineRule="auto"/>
              <w:jc w:val="center"/>
              <w:rPr>
                <w:sz w:val="16"/>
                <w:szCs w:val="16"/>
              </w:rPr>
            </w:pPr>
          </w:p>
        </w:tc>
        <w:tc>
          <w:tcPr>
            <w:tcW w:w="236" w:type="dxa"/>
            <w:vAlign w:val="center"/>
          </w:tcPr>
          <w:p w14:paraId="638138D0" w14:textId="77777777" w:rsidR="00B06EAF" w:rsidRDefault="00B06EAF">
            <w:pPr>
              <w:spacing w:line="240" w:lineRule="auto"/>
              <w:jc w:val="center"/>
              <w:rPr>
                <w:sz w:val="16"/>
                <w:szCs w:val="16"/>
              </w:rPr>
            </w:pPr>
          </w:p>
        </w:tc>
        <w:tc>
          <w:tcPr>
            <w:tcW w:w="1020" w:type="dxa"/>
            <w:tcBorders>
              <w:top w:val="single" w:sz="4" w:space="0" w:color="000000"/>
            </w:tcBorders>
            <w:vAlign w:val="center"/>
          </w:tcPr>
          <w:p w14:paraId="6F6D8184" w14:textId="3DA4F0F6" w:rsidR="00B06EAF" w:rsidRDefault="005403ED">
            <w:pPr>
              <w:spacing w:line="240" w:lineRule="auto"/>
              <w:jc w:val="center"/>
              <w:rPr>
                <w:sz w:val="16"/>
                <w:szCs w:val="16"/>
              </w:rPr>
            </w:pPr>
            <w:r>
              <w:rPr>
                <w:sz w:val="16"/>
                <w:szCs w:val="16"/>
              </w:rPr>
              <w:t>16</w:t>
            </w:r>
          </w:p>
        </w:tc>
        <w:tc>
          <w:tcPr>
            <w:tcW w:w="236" w:type="dxa"/>
            <w:vAlign w:val="center"/>
          </w:tcPr>
          <w:p w14:paraId="570E8BC1" w14:textId="77777777" w:rsidR="00B06EAF" w:rsidRDefault="00B06EAF">
            <w:pPr>
              <w:spacing w:line="240" w:lineRule="auto"/>
              <w:rPr>
                <w:sz w:val="16"/>
                <w:szCs w:val="16"/>
              </w:rPr>
            </w:pPr>
          </w:p>
        </w:tc>
        <w:tc>
          <w:tcPr>
            <w:tcW w:w="850" w:type="dxa"/>
            <w:tcBorders>
              <w:top w:val="single" w:sz="4" w:space="0" w:color="000000"/>
            </w:tcBorders>
            <w:vAlign w:val="center"/>
          </w:tcPr>
          <w:p w14:paraId="64144D0B" w14:textId="50A1DC47" w:rsidR="00B06EAF" w:rsidRDefault="00424319">
            <w:pPr>
              <w:spacing w:line="240" w:lineRule="auto"/>
              <w:jc w:val="center"/>
              <w:rPr>
                <w:sz w:val="16"/>
                <w:szCs w:val="16"/>
              </w:rPr>
            </w:pPr>
            <w:r>
              <w:rPr>
                <w:sz w:val="16"/>
                <w:szCs w:val="16"/>
              </w:rPr>
              <w:t>15</w:t>
            </w:r>
          </w:p>
        </w:tc>
      </w:tr>
    </w:tbl>
    <w:p w14:paraId="3EBCB84F" w14:textId="77777777" w:rsidR="00467E79" w:rsidRDefault="00467E79" w:rsidP="00467E79">
      <w:pPr>
        <w:pStyle w:val="Standard1"/>
        <w:ind w:right="283"/>
        <w:rPr>
          <w:rFonts w:ascii="Arial" w:hAnsi="Arial" w:cs="Arial"/>
          <w:b/>
          <w:bCs/>
          <w:sz w:val="16"/>
          <w:szCs w:val="16"/>
        </w:rPr>
      </w:pPr>
    </w:p>
    <w:p w14:paraId="79C7ABE9" w14:textId="77777777" w:rsidR="00FD057C" w:rsidRDefault="00FD057C" w:rsidP="00467E79">
      <w:pPr>
        <w:pStyle w:val="Standard1"/>
        <w:ind w:right="283"/>
        <w:rPr>
          <w:rFonts w:ascii="Arial" w:hAnsi="Arial" w:cs="Arial"/>
          <w:b/>
          <w:bCs/>
          <w:sz w:val="16"/>
          <w:szCs w:val="16"/>
        </w:rPr>
      </w:pPr>
    </w:p>
    <w:p w14:paraId="3F881183" w14:textId="3CDE600E" w:rsidR="00F35B5A" w:rsidRDefault="00F35B5A" w:rsidP="00F35B5A">
      <w:pPr>
        <w:rPr>
          <w:lang w:val="en-US"/>
        </w:rPr>
      </w:pPr>
      <w:r w:rsidRPr="00F35B5A">
        <w:rPr>
          <w:lang w:val="en-US"/>
        </w:rPr>
        <w:t>Further information on the new conga-</w:t>
      </w:r>
      <w:r>
        <w:rPr>
          <w:lang w:val="en-US"/>
        </w:rPr>
        <w:t>TC300</w:t>
      </w:r>
      <w:r w:rsidRPr="00F35B5A">
        <w:rPr>
          <w:lang w:val="en-US"/>
        </w:rPr>
        <w:t xml:space="preserve"> Computer-on-Module </w:t>
      </w:r>
      <w:r>
        <w:rPr>
          <w:lang w:val="en-US"/>
        </w:rPr>
        <w:t xml:space="preserve">can </w:t>
      </w:r>
      <w:r w:rsidRPr="00F35B5A">
        <w:rPr>
          <w:lang w:val="en-US"/>
        </w:rPr>
        <w:t xml:space="preserve">be found at: </w:t>
      </w:r>
      <w:hyperlink r:id="rId13" w:tgtFrame="_blank" w:tooltip="https://www.congatec.com/en/products/com-express-type-6/conga-tc300" w:history="1">
        <w:r w:rsidR="002D00E9" w:rsidRPr="002D00E9">
          <w:rPr>
            <w:rStyle w:val="Hyperlink"/>
            <w:lang w:val="en-US"/>
          </w:rPr>
          <w:t>https://www.congatec.com/en/products/com-express-type-6/conga-tc300</w:t>
        </w:r>
      </w:hyperlink>
      <w:r w:rsidR="002D00E9">
        <w:rPr>
          <w:lang w:val="en-US"/>
        </w:rPr>
        <w:t xml:space="preserve"> </w:t>
      </w:r>
    </w:p>
    <w:p w14:paraId="5CA0AC56" w14:textId="77777777" w:rsidR="002D00E9" w:rsidRPr="00F35B5A" w:rsidRDefault="002D00E9" w:rsidP="00F35B5A">
      <w:pPr>
        <w:rPr>
          <w:lang w:val="en-US"/>
        </w:rPr>
      </w:pPr>
    </w:p>
    <w:p w14:paraId="514FCDB2" w14:textId="77777777" w:rsidR="00C04CEB" w:rsidRPr="00F35B5A" w:rsidRDefault="00C04CEB" w:rsidP="00467E79">
      <w:pPr>
        <w:pStyle w:val="Standard1"/>
        <w:ind w:right="283"/>
        <w:rPr>
          <w:rFonts w:ascii="Arial" w:hAnsi="Arial" w:cs="Arial"/>
          <w:b/>
          <w:bCs/>
          <w:sz w:val="16"/>
          <w:szCs w:val="16"/>
          <w:lang w:val="en-US"/>
        </w:rPr>
      </w:pPr>
    </w:p>
    <w:p w14:paraId="0EEA40CD" w14:textId="77777777" w:rsidR="00C04CEB" w:rsidRPr="00F35B5A" w:rsidRDefault="00C04CEB" w:rsidP="00467E79">
      <w:pPr>
        <w:pStyle w:val="Standard1"/>
        <w:ind w:right="283"/>
        <w:rPr>
          <w:rFonts w:ascii="Arial" w:hAnsi="Arial" w:cs="Arial"/>
          <w:b/>
          <w:bCs/>
          <w:sz w:val="16"/>
          <w:szCs w:val="16"/>
          <w:lang w:val="en-US"/>
        </w:rPr>
      </w:pPr>
    </w:p>
    <w:p w14:paraId="32A66EFB" w14:textId="380D95C4" w:rsidR="00FD057C" w:rsidRPr="00F20B66" w:rsidRDefault="00FD057C" w:rsidP="00956FFD">
      <w:pPr>
        <w:pStyle w:val="Standard1"/>
        <w:ind w:right="283"/>
        <w:jc w:val="center"/>
        <w:rPr>
          <w:rFonts w:ascii="Arial" w:hAnsi="Arial" w:cs="Arial"/>
          <w:b/>
          <w:bCs/>
          <w:sz w:val="16"/>
          <w:szCs w:val="16"/>
          <w:lang w:val="en-US"/>
        </w:rPr>
      </w:pPr>
      <w:r w:rsidRPr="00F20B66">
        <w:rPr>
          <w:rFonts w:ascii="Arial" w:hAnsi="Arial" w:cs="Arial"/>
          <w:b/>
          <w:bCs/>
          <w:sz w:val="16"/>
          <w:szCs w:val="16"/>
          <w:lang w:val="en-US"/>
        </w:rPr>
        <w:t>***</w:t>
      </w:r>
    </w:p>
    <w:p w14:paraId="449F25D9" w14:textId="77777777" w:rsidR="006F7002" w:rsidRPr="00F20B66" w:rsidRDefault="006F7002" w:rsidP="00467E79">
      <w:pPr>
        <w:pStyle w:val="Standard1"/>
        <w:ind w:right="283"/>
        <w:rPr>
          <w:rFonts w:ascii="Arial" w:hAnsi="Arial" w:cs="Arial"/>
          <w:b/>
          <w:bCs/>
          <w:sz w:val="16"/>
          <w:szCs w:val="16"/>
          <w:lang w:val="en-US"/>
        </w:rPr>
      </w:pPr>
    </w:p>
    <w:p w14:paraId="2634E408" w14:textId="77777777" w:rsidR="006A776F" w:rsidRPr="007237F2" w:rsidRDefault="006A776F" w:rsidP="006A776F">
      <w:pPr>
        <w:rPr>
          <w:rFonts w:ascii="Aptos" w:eastAsia="Aptos" w:hAnsi="Aptos" w:cs="Aptos"/>
          <w:lang w:val="en-US"/>
        </w:rPr>
      </w:pPr>
      <w:r w:rsidRPr="007237F2">
        <w:rPr>
          <w:rFonts w:eastAsia="Arial"/>
          <w:b/>
          <w:bCs/>
          <w:sz w:val="18"/>
          <w:szCs w:val="18"/>
          <w:lang w:val="en-US"/>
        </w:rPr>
        <w:t>About congatec</w:t>
      </w:r>
      <w:r w:rsidRPr="007237F2">
        <w:rPr>
          <w:rFonts w:eastAsia="Arial"/>
          <w:sz w:val="18"/>
          <w:szCs w:val="18"/>
          <w:lang w:val="en-US"/>
        </w:rPr>
        <w:t xml:space="preserve"> </w:t>
      </w:r>
    </w:p>
    <w:p w14:paraId="561CC1E0" w14:textId="77777777" w:rsidR="006A776F" w:rsidRPr="00C41876" w:rsidRDefault="006A776F" w:rsidP="006A776F">
      <w:pPr>
        <w:rPr>
          <w:lang w:val="en-US"/>
        </w:rPr>
      </w:pPr>
      <w:r w:rsidRPr="007237F2">
        <w:rPr>
          <w:rFonts w:eastAsia="Arial"/>
          <w:sz w:val="18"/>
          <w:szCs w:val="18"/>
          <w:lang w:val="en-US"/>
        </w:rPr>
        <w:t xml:space="preserve">congatec is a leading global provider of high-performance hardware and software building blocks for embedded and edge computing solutions based on Computer-on-Modules (COMs). </w:t>
      </w:r>
      <w:r w:rsidRPr="00C41876">
        <w:rPr>
          <w:rFonts w:eastAsia="Arial"/>
          <w:sz w:val="18"/>
          <w:szCs w:val="18"/>
          <w:lang w:val="en-US"/>
        </w:rPr>
        <w:t xml:space="preserve">These advanced computer modules drive systems and devices across industries such as industrial automation, medical technology, robotics, telecommunications, and more. congatec's high-performance aReady. ecosystems simplify and accelerate the </w:t>
      </w:r>
      <w:proofErr w:type="gramStart"/>
      <w:r w:rsidRPr="00C41876">
        <w:rPr>
          <w:rFonts w:eastAsia="Arial"/>
          <w:sz w:val="18"/>
          <w:szCs w:val="18"/>
          <w:lang w:val="en-US"/>
        </w:rPr>
        <w:t>solution development</w:t>
      </w:r>
      <w:proofErr w:type="gramEnd"/>
      <w:r w:rsidRPr="00C41876">
        <w:rPr>
          <w:rFonts w:eastAsia="Arial"/>
          <w:sz w:val="18"/>
          <w:szCs w:val="18"/>
          <w:lang w:val="en-US"/>
        </w:rPr>
        <w:t xml:space="preserve">, from COM to cloud. This application-ready approach combines COMs with services and customizable technologies that enable cutting-edge advancements in system consolidation, IoT, security, and artificial intelligence. Supported by its majority shareholder, DBAG Fund VIII – a German mid-market fund focused on driving growth for industrial enterprises – congatec has the financial backing and M&amp;A expertise to capitalize </w:t>
      </w:r>
      <w:r w:rsidRPr="00C41876">
        <w:rPr>
          <w:rFonts w:eastAsia="Arial"/>
          <w:sz w:val="18"/>
          <w:szCs w:val="18"/>
          <w:lang w:val="en-US"/>
        </w:rPr>
        <w:lastRenderedPageBreak/>
        <w:t xml:space="preserve">on expanding market opportunities. For more information, visit </w:t>
      </w:r>
      <w:hyperlink r:id="rId14">
        <w:r w:rsidRPr="00C41876">
          <w:rPr>
            <w:rStyle w:val="Hyperlink"/>
            <w:rFonts w:eastAsia="Arial"/>
            <w:sz w:val="18"/>
            <w:szCs w:val="18"/>
            <w:lang w:val="en-US"/>
          </w:rPr>
          <w:t>www.congatec.com</w:t>
        </w:r>
      </w:hyperlink>
      <w:r w:rsidRPr="00C41876">
        <w:rPr>
          <w:rFonts w:eastAsia="Arial"/>
          <w:sz w:val="18"/>
          <w:szCs w:val="18"/>
          <w:lang w:val="en-US"/>
        </w:rPr>
        <w:t xml:space="preserve"> or follow us on </w:t>
      </w:r>
      <w:hyperlink r:id="rId15" w:history="1">
        <w:r w:rsidRPr="00C41876">
          <w:rPr>
            <w:rStyle w:val="Hyperlink"/>
            <w:rFonts w:eastAsia="Arial"/>
            <w:sz w:val="18"/>
            <w:szCs w:val="18"/>
            <w:lang w:val="en-US"/>
          </w:rPr>
          <w:t>LinkedIn</w:t>
        </w:r>
      </w:hyperlink>
      <w:r w:rsidRPr="00C41876">
        <w:rPr>
          <w:rFonts w:eastAsia="Arial"/>
          <w:sz w:val="18"/>
          <w:szCs w:val="18"/>
          <w:lang w:val="en-US"/>
        </w:rPr>
        <w:t xml:space="preserve"> and </w:t>
      </w:r>
      <w:hyperlink r:id="rId16" w:history="1">
        <w:r w:rsidRPr="00C41876">
          <w:rPr>
            <w:rStyle w:val="Hyperlink"/>
            <w:rFonts w:eastAsia="Arial"/>
            <w:sz w:val="18"/>
            <w:szCs w:val="18"/>
            <w:lang w:val="en-US"/>
          </w:rPr>
          <w:t>YouTube</w:t>
        </w:r>
      </w:hyperlink>
      <w:r w:rsidRPr="00C41876">
        <w:rPr>
          <w:rFonts w:eastAsia="Arial"/>
          <w:color w:val="000000" w:themeColor="text1"/>
          <w:sz w:val="18"/>
          <w:szCs w:val="18"/>
          <w:lang w:val="en-US"/>
        </w:rPr>
        <w:t>.</w:t>
      </w:r>
    </w:p>
    <w:p w14:paraId="28468658" w14:textId="77777777" w:rsidR="006A776F" w:rsidRPr="00C41876" w:rsidRDefault="006A776F" w:rsidP="006A776F">
      <w:pPr>
        <w:spacing w:line="240" w:lineRule="auto"/>
        <w:rPr>
          <w:lang w:val="en-US"/>
        </w:rPr>
      </w:pPr>
    </w:p>
    <w:p w14:paraId="059ACF9C" w14:textId="77777777" w:rsidR="006814DA" w:rsidRPr="00BF6BBE" w:rsidRDefault="006814DA" w:rsidP="006814DA">
      <w:pPr>
        <w:spacing w:line="240" w:lineRule="auto"/>
        <w:rPr>
          <w:i/>
          <w:sz w:val="18"/>
          <w:szCs w:val="18"/>
          <w:lang w:val="en-US"/>
        </w:rPr>
      </w:pPr>
      <w:r w:rsidRPr="00BF6BBE">
        <w:rPr>
          <w:i/>
          <w:sz w:val="18"/>
          <w:szCs w:val="18"/>
          <w:lang w:val="en-US"/>
        </w:rPr>
        <w:t>Intel, the Intel logo, and other Intel marks are trademarks of Intel Corporation or its subsidiaries.</w:t>
      </w:r>
    </w:p>
    <w:p w14:paraId="1F1B5337" w14:textId="77777777" w:rsidR="006814DA" w:rsidRPr="006814DA" w:rsidRDefault="006814DA" w:rsidP="006814DA">
      <w:pPr>
        <w:spacing w:line="240" w:lineRule="auto"/>
        <w:rPr>
          <w:lang w:val="en-US"/>
        </w:rPr>
      </w:pPr>
    </w:p>
    <w:p w14:paraId="0D778C6E" w14:textId="77777777" w:rsidR="006A776F" w:rsidRDefault="006A776F" w:rsidP="006A776F">
      <w:pPr>
        <w:pStyle w:val="StandardWeb"/>
        <w:spacing w:line="240" w:lineRule="auto"/>
        <w:ind w:right="283"/>
        <w:jc w:val="both"/>
        <w:rPr>
          <w:rFonts w:ascii="Arial" w:hAnsi="Arial" w:cs="Arial"/>
          <w:b/>
          <w:bCs/>
          <w:color w:val="000000"/>
          <w:lang w:val="en-GB"/>
        </w:rPr>
      </w:pPr>
    </w:p>
    <w:p w14:paraId="489367CE" w14:textId="77777777" w:rsidR="00121746" w:rsidRPr="00121746" w:rsidRDefault="00121746" w:rsidP="00121746">
      <w:pPr>
        <w:spacing w:line="240" w:lineRule="auto"/>
        <w:rPr>
          <w:b/>
          <w:u w:val="single"/>
          <w:lang w:val="en-GB"/>
        </w:rPr>
      </w:pPr>
      <w:bookmarkStart w:id="0" w:name="_Hlk118996808"/>
      <w:r w:rsidRPr="00121746">
        <w:rPr>
          <w:b/>
          <w:lang w:val="en-GB"/>
        </w:rPr>
        <w:t>Reader Enquiries:</w:t>
      </w:r>
    </w:p>
    <w:p w14:paraId="5A0216A3" w14:textId="77777777" w:rsidR="00121746" w:rsidRPr="00121746" w:rsidRDefault="00121746" w:rsidP="00121746">
      <w:pPr>
        <w:spacing w:line="240" w:lineRule="auto"/>
        <w:rPr>
          <w:lang w:val="en-GB"/>
        </w:rPr>
      </w:pPr>
      <w:r w:rsidRPr="00121746">
        <w:rPr>
          <w:lang w:val="en-GB"/>
        </w:rPr>
        <w:t>congatec</w:t>
      </w:r>
    </w:p>
    <w:p w14:paraId="1D2B4C06" w14:textId="77777777" w:rsidR="00121746" w:rsidRPr="00121746" w:rsidRDefault="00121746" w:rsidP="00121746">
      <w:pPr>
        <w:spacing w:line="240" w:lineRule="auto"/>
        <w:rPr>
          <w:lang w:val="en-GB"/>
        </w:rPr>
      </w:pPr>
      <w:r w:rsidRPr="00121746">
        <w:rPr>
          <w:lang w:val="en-GB"/>
        </w:rPr>
        <w:t xml:space="preserve">Dan Demers </w:t>
      </w:r>
    </w:p>
    <w:p w14:paraId="21104FBC" w14:textId="77777777" w:rsidR="00121746" w:rsidRPr="00121746" w:rsidRDefault="00121746" w:rsidP="00121746">
      <w:pPr>
        <w:spacing w:line="240" w:lineRule="auto"/>
        <w:rPr>
          <w:color w:val="000000"/>
          <w:lang w:val="en-GB"/>
        </w:rPr>
      </w:pPr>
      <w:r w:rsidRPr="00121746">
        <w:rPr>
          <w:color w:val="000000"/>
          <w:lang w:val="en-GB"/>
        </w:rPr>
        <w:t>Phone: 858-457-2600</w:t>
      </w:r>
    </w:p>
    <w:p w14:paraId="09CF92B4" w14:textId="77777777" w:rsidR="00121746" w:rsidRPr="00121746" w:rsidRDefault="00121746" w:rsidP="00121746">
      <w:pPr>
        <w:spacing w:line="240" w:lineRule="auto"/>
        <w:rPr>
          <w:kern w:val="2"/>
          <w:lang w:val="en-GB"/>
        </w:rPr>
      </w:pPr>
      <w:hyperlink r:id="rId17" w:history="1">
        <w:r w:rsidRPr="00121746">
          <w:rPr>
            <w:rStyle w:val="Hyperlink"/>
            <w:rFonts w:eastAsiaTheme="majorEastAsia"/>
            <w:lang w:val="en-GB"/>
          </w:rPr>
          <w:t>Dan.Demers@congatec.com</w:t>
        </w:r>
      </w:hyperlink>
    </w:p>
    <w:p w14:paraId="7B3BA7BA" w14:textId="77777777" w:rsidR="00121746" w:rsidRPr="00121746" w:rsidRDefault="00121746" w:rsidP="00121746">
      <w:pPr>
        <w:spacing w:line="240" w:lineRule="auto"/>
        <w:rPr>
          <w:color w:val="0000FF"/>
          <w:u w:val="single"/>
          <w:lang w:val="en-GB"/>
        </w:rPr>
      </w:pPr>
      <w:hyperlink r:id="rId18" w:history="1">
        <w:r w:rsidRPr="00121746">
          <w:rPr>
            <w:rStyle w:val="Hyperlink"/>
            <w:rFonts w:eastAsiaTheme="majorEastAsia"/>
            <w:lang w:val="en-GB"/>
          </w:rPr>
          <w:t>www.congatec.us</w:t>
        </w:r>
      </w:hyperlink>
    </w:p>
    <w:p w14:paraId="3A9E8E72" w14:textId="77777777" w:rsidR="00121746" w:rsidRPr="00121746" w:rsidRDefault="00121746" w:rsidP="00121746">
      <w:pPr>
        <w:spacing w:line="240" w:lineRule="auto"/>
        <w:rPr>
          <w:color w:val="0000FF"/>
          <w:u w:val="single"/>
          <w:lang w:val="en-GB"/>
        </w:rPr>
      </w:pPr>
    </w:p>
    <w:p w14:paraId="6FCB7943" w14:textId="77777777" w:rsidR="00121746" w:rsidRPr="00121746" w:rsidRDefault="00121746" w:rsidP="00121746">
      <w:pPr>
        <w:spacing w:line="240" w:lineRule="auto"/>
        <w:rPr>
          <w:b/>
          <w:lang w:val="en-GB"/>
        </w:rPr>
      </w:pPr>
      <w:r w:rsidRPr="00121746">
        <w:rPr>
          <w:b/>
          <w:lang w:val="en-GB"/>
        </w:rPr>
        <w:t>Press Contact:</w:t>
      </w:r>
    </w:p>
    <w:p w14:paraId="6BF7F4FA" w14:textId="77777777" w:rsidR="00121746" w:rsidRPr="00121746" w:rsidRDefault="00121746" w:rsidP="00121746">
      <w:pPr>
        <w:spacing w:line="240" w:lineRule="auto"/>
        <w:rPr>
          <w:lang w:val="en-GB"/>
        </w:rPr>
      </w:pPr>
      <w:r w:rsidRPr="00121746">
        <w:rPr>
          <w:lang w:val="en-GB"/>
        </w:rPr>
        <w:t xml:space="preserve">congatec </w:t>
      </w:r>
    </w:p>
    <w:p w14:paraId="227DFB8E" w14:textId="77777777" w:rsidR="00121746" w:rsidRPr="00121746" w:rsidRDefault="00121746" w:rsidP="00121746">
      <w:pPr>
        <w:spacing w:line="240" w:lineRule="auto"/>
        <w:rPr>
          <w:lang w:val="en-GB"/>
        </w:rPr>
      </w:pPr>
      <w:r w:rsidRPr="00121746">
        <w:rPr>
          <w:lang w:val="en-GB"/>
        </w:rPr>
        <w:t>Janene Rae</w:t>
      </w:r>
    </w:p>
    <w:p w14:paraId="56283D3E" w14:textId="77777777" w:rsidR="00121746" w:rsidRPr="00121746" w:rsidRDefault="00121746" w:rsidP="00121746">
      <w:pPr>
        <w:spacing w:line="240" w:lineRule="auto"/>
        <w:rPr>
          <w:lang w:val="en-GB"/>
        </w:rPr>
      </w:pPr>
      <w:r w:rsidRPr="00121746">
        <w:rPr>
          <w:lang w:val="en-GB"/>
        </w:rPr>
        <w:t>Phone: 858-457-2600</w:t>
      </w:r>
    </w:p>
    <w:p w14:paraId="60C25860" w14:textId="77777777" w:rsidR="00121746" w:rsidRPr="00121746" w:rsidRDefault="00121746" w:rsidP="00121746">
      <w:pPr>
        <w:spacing w:line="240" w:lineRule="auto"/>
        <w:rPr>
          <w:lang w:val="en-GB"/>
        </w:rPr>
      </w:pPr>
      <w:hyperlink r:id="rId19" w:history="1">
        <w:r w:rsidRPr="00121746">
          <w:rPr>
            <w:rStyle w:val="Hyperlink"/>
            <w:rFonts w:eastAsiaTheme="majorEastAsia"/>
            <w:lang w:val="en-GB"/>
          </w:rPr>
          <w:t>janene.rae@congatec.com</w:t>
        </w:r>
      </w:hyperlink>
    </w:p>
    <w:p w14:paraId="5DF4BEC3" w14:textId="2D1A50F7" w:rsidR="00294514" w:rsidRPr="002B7583" w:rsidRDefault="00121746" w:rsidP="002B7583">
      <w:pPr>
        <w:spacing w:line="240" w:lineRule="auto"/>
        <w:rPr>
          <w:rFonts w:eastAsiaTheme="majorEastAsia"/>
          <w:color w:val="0000FF"/>
          <w:u w:val="single"/>
        </w:rPr>
      </w:pPr>
      <w:hyperlink r:id="rId20" w:history="1">
        <w:r w:rsidRPr="000A5690">
          <w:rPr>
            <w:rStyle w:val="Hyperlink"/>
            <w:rFonts w:eastAsiaTheme="majorEastAsia"/>
          </w:rPr>
          <w:t>www.congatec.us</w:t>
        </w:r>
      </w:hyperlink>
      <w:bookmarkEnd w:id="0"/>
    </w:p>
    <w:sectPr w:rsidR="00294514" w:rsidRPr="002B7583" w:rsidSect="009C4B5D">
      <w:headerReference w:type="default" r:id="rId21"/>
      <w:footerReference w:type="even" r:id="rId22"/>
      <w:footerReference w:type="default" r:id="rId23"/>
      <w:footerReference w:type="first" r:id="rId2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2706E" w14:textId="77777777" w:rsidR="00CA30BC" w:rsidRDefault="00CA30BC" w:rsidP="00680509">
      <w:pPr>
        <w:spacing w:line="240" w:lineRule="auto"/>
      </w:pPr>
      <w:r>
        <w:separator/>
      </w:r>
    </w:p>
  </w:endnote>
  <w:endnote w:type="continuationSeparator" w:id="0">
    <w:p w14:paraId="5780AF0F" w14:textId="77777777" w:rsidR="00CA30BC" w:rsidRDefault="00CA30BC" w:rsidP="00680509">
      <w:pPr>
        <w:spacing w:line="240" w:lineRule="auto"/>
      </w:pPr>
      <w:r>
        <w:continuationSeparator/>
      </w:r>
    </w:p>
  </w:endnote>
  <w:endnote w:type="continuationNotice" w:id="1">
    <w:p w14:paraId="76944160" w14:textId="77777777" w:rsidR="00CA30BC" w:rsidRDefault="00CA30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22DF" w14:textId="08074CEC" w:rsidR="007451D4" w:rsidRDefault="007451D4">
    <w:pPr>
      <w:pStyle w:val="Fuzeile"/>
    </w:pPr>
    <w:r>
      <w:rPr>
        <w:noProof/>
      </w:rPr>
      <mc:AlternateContent>
        <mc:Choice Requires="wps">
          <w:drawing>
            <wp:anchor distT="0" distB="0" distL="0" distR="0" simplePos="0" relativeHeight="251658241" behindDoc="0" locked="0" layoutInCell="1" allowOverlap="1" wp14:anchorId="1B1EB4A1" wp14:editId="3F7B2B3D">
              <wp:simplePos x="635" y="635"/>
              <wp:positionH relativeFrom="page">
                <wp:align>left</wp:align>
              </wp:positionH>
              <wp:positionV relativeFrom="page">
                <wp:align>bottom</wp:align>
              </wp:positionV>
              <wp:extent cx="443865" cy="443865"/>
              <wp:effectExtent l="0" t="0" r="11430" b="0"/>
              <wp:wrapNone/>
              <wp:docPr id="4" name="Text Box 4" descr="congatec confidential information | This information is confidential and solely for the use of the recipient or entity and may not be reproduced or circulated without congatec prior written cons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1DD1BA" w14:textId="7E03BB50" w:rsidR="007451D4" w:rsidRPr="00190D9C" w:rsidRDefault="007451D4" w:rsidP="007451D4">
                          <w:pPr>
                            <w:rPr>
                              <w:rFonts w:ascii="Calibri" w:eastAsia="Calibri" w:hAnsi="Calibri" w:cs="Calibri"/>
                              <w:noProof/>
                              <w:color w:val="000000"/>
                              <w:sz w:val="20"/>
                              <w:szCs w:val="20"/>
                              <w:lang w:val="en-US"/>
                            </w:rPr>
                          </w:pPr>
                          <w:r w:rsidRPr="00190D9C">
                            <w:rPr>
                              <w:rFonts w:ascii="Calibri" w:eastAsia="Calibri" w:hAnsi="Calibri" w:cs="Calibri"/>
                              <w:noProof/>
                              <w:color w:val="000000"/>
                              <w:sz w:val="20"/>
                              <w:szCs w:val="20"/>
                              <w:lang w:val="en-US"/>
                            </w:rPr>
                            <w:t>congatec confidential information | This information is confidential and solely for the use of the recipient or entity and may not be reproduced or circulated without congatec prior written consent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1EB4A1" id="_x0000_t202" coordsize="21600,21600" o:spt="202" path="m,l,21600r21600,l21600,xe">
              <v:stroke joinstyle="miter"/>
              <v:path gradientshapeok="t" o:connecttype="rect"/>
            </v:shapetype>
            <v:shape id="Text Box 4" o:spid="_x0000_s1026" type="#_x0000_t202" alt="congatec confidential information | This information is confidential and solely for the use of the recipient or entity and may not be reproduced or circulated without congatec prior written consent"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71DD1BA" w14:textId="7E03BB50" w:rsidR="007451D4" w:rsidRPr="00190D9C" w:rsidRDefault="007451D4" w:rsidP="007451D4">
                    <w:pPr>
                      <w:rPr>
                        <w:rFonts w:ascii="Calibri" w:eastAsia="Calibri" w:hAnsi="Calibri" w:cs="Calibri"/>
                        <w:noProof/>
                        <w:color w:val="000000"/>
                        <w:sz w:val="20"/>
                        <w:szCs w:val="20"/>
                        <w:lang w:val="en-US"/>
                      </w:rPr>
                    </w:pPr>
                    <w:r w:rsidRPr="00190D9C">
                      <w:rPr>
                        <w:rFonts w:ascii="Calibri" w:eastAsia="Calibri" w:hAnsi="Calibri" w:cs="Calibri"/>
                        <w:noProof/>
                        <w:color w:val="000000"/>
                        <w:sz w:val="20"/>
                        <w:szCs w:val="20"/>
                        <w:lang w:val="en-US"/>
                      </w:rPr>
                      <w:t>congatec confidential information | This information is confidential and solely for the use of the recipient or entity and may not be reproduced or circulated without congatec prior written consent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D23D" w14:textId="133FE302" w:rsidR="005C2300" w:rsidRDefault="007451D4">
    <w:pPr>
      <w:pStyle w:val="Fuzeile"/>
    </w:pPr>
    <w:r>
      <w:rPr>
        <w:noProof/>
      </w:rPr>
      <mc:AlternateContent>
        <mc:Choice Requires="wps">
          <w:drawing>
            <wp:anchor distT="0" distB="0" distL="0" distR="0" simplePos="0" relativeHeight="251658240" behindDoc="0" locked="0" layoutInCell="1" allowOverlap="1" wp14:anchorId="14F483F1" wp14:editId="73312684">
              <wp:simplePos x="635" y="635"/>
              <wp:positionH relativeFrom="page">
                <wp:align>left</wp:align>
              </wp:positionH>
              <wp:positionV relativeFrom="page">
                <wp:align>bottom</wp:align>
              </wp:positionV>
              <wp:extent cx="443865" cy="443865"/>
              <wp:effectExtent l="0" t="0" r="11430" b="0"/>
              <wp:wrapNone/>
              <wp:docPr id="5" name="Text Box 5" descr="congatec confidential information | This information is confidential and solely for the use of the recipient or entity and may not be reproduced or circulated without congatec prior written cons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9D7217" w14:textId="74B53CDE" w:rsidR="007451D4" w:rsidRPr="00190D9C" w:rsidRDefault="007451D4" w:rsidP="007451D4">
                          <w:pPr>
                            <w:rPr>
                              <w:rFonts w:ascii="Calibri" w:eastAsia="Calibri" w:hAnsi="Calibri" w:cs="Calibri"/>
                              <w:noProof/>
                              <w:color w:val="000000"/>
                              <w:sz w:val="20"/>
                              <w:szCs w:val="20"/>
                              <w:lang w:val="en-US"/>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F483F1" id="_x0000_t202" coordsize="21600,21600" o:spt="202" path="m,l,21600r21600,l21600,xe">
              <v:stroke joinstyle="miter"/>
              <v:path gradientshapeok="t" o:connecttype="rect"/>
            </v:shapetype>
            <v:shape id="Text Box 5" o:spid="_x0000_s1027" type="#_x0000_t202" alt="congatec confidential information | This information is confidential and solely for the use of the recipient or entity and may not be reproduced or circulated without congatec prior written consent"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C9D7217" w14:textId="74B53CDE" w:rsidR="007451D4" w:rsidRPr="00190D9C" w:rsidRDefault="007451D4" w:rsidP="007451D4">
                    <w:pPr>
                      <w:rPr>
                        <w:rFonts w:ascii="Calibri" w:eastAsia="Calibri" w:hAnsi="Calibri" w:cs="Calibri"/>
                        <w:noProof/>
                        <w:color w:val="000000"/>
                        <w:sz w:val="20"/>
                        <w:szCs w:val="20"/>
                        <w:lang w:val="en-US"/>
                      </w:rPr>
                    </w:pPr>
                  </w:p>
                </w:txbxContent>
              </v:textbox>
              <w10:wrap anchorx="page" anchory="page"/>
            </v:shape>
          </w:pict>
        </mc:Fallback>
      </mc:AlternateContent>
    </w:r>
  </w:p>
  <w:p w14:paraId="3ABD79E5" w14:textId="11FA277D" w:rsidR="005C2300" w:rsidRDefault="005C2300">
    <w:pPr>
      <w:pStyle w:val="Fuzeile"/>
    </w:pPr>
  </w:p>
  <w:p w14:paraId="44C9A7BF" w14:textId="77777777" w:rsidR="005C2300" w:rsidRDefault="005C230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6D69" w14:textId="700E5D56" w:rsidR="007451D4" w:rsidRDefault="007451D4">
    <w:pPr>
      <w:pStyle w:val="Fuzeile"/>
    </w:pPr>
    <w:r>
      <w:rPr>
        <w:noProof/>
      </w:rPr>
      <mc:AlternateContent>
        <mc:Choice Requires="wps">
          <w:drawing>
            <wp:anchor distT="0" distB="0" distL="0" distR="0" simplePos="0" relativeHeight="251658242" behindDoc="0" locked="0" layoutInCell="1" allowOverlap="1" wp14:anchorId="721FAF84" wp14:editId="7D9762A4">
              <wp:simplePos x="635" y="635"/>
              <wp:positionH relativeFrom="page">
                <wp:align>left</wp:align>
              </wp:positionH>
              <wp:positionV relativeFrom="page">
                <wp:align>bottom</wp:align>
              </wp:positionV>
              <wp:extent cx="443865" cy="443865"/>
              <wp:effectExtent l="0" t="0" r="11430" b="0"/>
              <wp:wrapNone/>
              <wp:docPr id="2" name="Text Box 2" descr="congatec confidential information | This information is confidential and solely for the use of the recipient or entity and may not be reproduced or circulated without congatec prior written cons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B66203" w14:textId="35B66DD3" w:rsidR="007451D4" w:rsidRPr="00190D9C" w:rsidRDefault="007451D4" w:rsidP="007451D4">
                          <w:pPr>
                            <w:rPr>
                              <w:rFonts w:ascii="Calibri" w:eastAsia="Calibri" w:hAnsi="Calibri" w:cs="Calibri"/>
                              <w:noProof/>
                              <w:color w:val="000000"/>
                              <w:sz w:val="20"/>
                              <w:szCs w:val="20"/>
                              <w:lang w:val="en-US"/>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1FAF84" id="_x0000_t202" coordsize="21600,21600" o:spt="202" path="m,l,21600r21600,l21600,xe">
              <v:stroke joinstyle="miter"/>
              <v:path gradientshapeok="t" o:connecttype="rect"/>
            </v:shapetype>
            <v:shape id="Text Box 2" o:spid="_x0000_s1028" type="#_x0000_t202" alt="congatec confidential information | This information is confidential and solely for the use of the recipient or entity and may not be reproduced or circulated without congatec prior written consent"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0B66203" w14:textId="35B66DD3" w:rsidR="007451D4" w:rsidRPr="00190D9C" w:rsidRDefault="007451D4" w:rsidP="007451D4">
                    <w:pPr>
                      <w:rPr>
                        <w:rFonts w:ascii="Calibri" w:eastAsia="Calibri" w:hAnsi="Calibri" w:cs="Calibri"/>
                        <w:noProof/>
                        <w:color w:val="000000"/>
                        <w:sz w:val="20"/>
                        <w:szCs w:val="20"/>
                        <w:lang w:val="en-US"/>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5937D" w14:textId="77777777" w:rsidR="00CA30BC" w:rsidRDefault="00CA30BC" w:rsidP="00680509">
      <w:pPr>
        <w:spacing w:line="240" w:lineRule="auto"/>
      </w:pPr>
      <w:r>
        <w:separator/>
      </w:r>
    </w:p>
  </w:footnote>
  <w:footnote w:type="continuationSeparator" w:id="0">
    <w:p w14:paraId="26AA3849" w14:textId="77777777" w:rsidR="00CA30BC" w:rsidRDefault="00CA30BC" w:rsidP="00680509">
      <w:pPr>
        <w:spacing w:line="240" w:lineRule="auto"/>
      </w:pPr>
      <w:r>
        <w:continuationSeparator/>
      </w:r>
    </w:p>
  </w:footnote>
  <w:footnote w:type="continuationNotice" w:id="1">
    <w:p w14:paraId="48770394" w14:textId="77777777" w:rsidR="00CA30BC" w:rsidRDefault="00CA30B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845E" w14:textId="6116542A" w:rsidR="009C4B5D" w:rsidRDefault="009C4B5D">
    <w:pPr>
      <w:pStyle w:val="Kopfzeile"/>
    </w:pPr>
  </w:p>
  <w:p w14:paraId="30A7A700" w14:textId="2ABE7960" w:rsidR="009C4B5D" w:rsidRDefault="009C4B5D">
    <w:pPr>
      <w:pStyle w:val="Kopfzeile"/>
    </w:pPr>
  </w:p>
  <w:p w14:paraId="68433190" w14:textId="74D14B68" w:rsidR="009C4B5D" w:rsidRDefault="009C4B5D">
    <w:pPr>
      <w:pStyle w:val="Kopfzeile"/>
    </w:pPr>
  </w:p>
  <w:p w14:paraId="1C46DCC7" w14:textId="65908BD7" w:rsidR="009C4B5D" w:rsidRDefault="009C4B5D">
    <w:pPr>
      <w:pStyle w:val="Kopfzeile"/>
    </w:pPr>
  </w:p>
  <w:p w14:paraId="7551B73B" w14:textId="5AEF4380" w:rsidR="009C4B5D" w:rsidRDefault="009C4B5D">
    <w:pPr>
      <w:pStyle w:val="Kopfzeile"/>
    </w:pPr>
  </w:p>
  <w:p w14:paraId="27FD6316" w14:textId="3ECF17D0" w:rsidR="009C4B5D" w:rsidRDefault="009C4B5D">
    <w:pPr>
      <w:pStyle w:val="Kopfzeile"/>
    </w:pPr>
  </w:p>
  <w:p w14:paraId="29D151B8" w14:textId="77777777" w:rsidR="009C4B5D" w:rsidRDefault="009C4B5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03D81"/>
    <w:rsid w:val="0000419E"/>
    <w:rsid w:val="00006A08"/>
    <w:rsid w:val="00006C33"/>
    <w:rsid w:val="00010B2C"/>
    <w:rsid w:val="00014813"/>
    <w:rsid w:val="00015117"/>
    <w:rsid w:val="00021490"/>
    <w:rsid w:val="00030B20"/>
    <w:rsid w:val="0003429F"/>
    <w:rsid w:val="00034B78"/>
    <w:rsid w:val="00036799"/>
    <w:rsid w:val="00040EC4"/>
    <w:rsid w:val="00045FFD"/>
    <w:rsid w:val="00046791"/>
    <w:rsid w:val="000479D7"/>
    <w:rsid w:val="0005565F"/>
    <w:rsid w:val="000558FE"/>
    <w:rsid w:val="00056B66"/>
    <w:rsid w:val="00056E66"/>
    <w:rsid w:val="00061C51"/>
    <w:rsid w:val="0006550E"/>
    <w:rsid w:val="00066507"/>
    <w:rsid w:val="00073AFD"/>
    <w:rsid w:val="00076C92"/>
    <w:rsid w:val="00087BE0"/>
    <w:rsid w:val="00091F71"/>
    <w:rsid w:val="00095474"/>
    <w:rsid w:val="000A2616"/>
    <w:rsid w:val="000A2F13"/>
    <w:rsid w:val="000A7551"/>
    <w:rsid w:val="000B5153"/>
    <w:rsid w:val="000B7638"/>
    <w:rsid w:val="000C41DE"/>
    <w:rsid w:val="000C6AFF"/>
    <w:rsid w:val="000D7E53"/>
    <w:rsid w:val="000E3699"/>
    <w:rsid w:val="000F3F46"/>
    <w:rsid w:val="000F5257"/>
    <w:rsid w:val="000F6D61"/>
    <w:rsid w:val="001018C6"/>
    <w:rsid w:val="001118DB"/>
    <w:rsid w:val="001176AE"/>
    <w:rsid w:val="001201E2"/>
    <w:rsid w:val="00121746"/>
    <w:rsid w:val="0012232F"/>
    <w:rsid w:val="00124B96"/>
    <w:rsid w:val="0012537C"/>
    <w:rsid w:val="00126DCB"/>
    <w:rsid w:val="00140242"/>
    <w:rsid w:val="0014127A"/>
    <w:rsid w:val="001527F8"/>
    <w:rsid w:val="00165526"/>
    <w:rsid w:val="00165F0E"/>
    <w:rsid w:val="0017062B"/>
    <w:rsid w:val="00174D8F"/>
    <w:rsid w:val="00184698"/>
    <w:rsid w:val="00190D9C"/>
    <w:rsid w:val="00196B81"/>
    <w:rsid w:val="001A4839"/>
    <w:rsid w:val="001A49C4"/>
    <w:rsid w:val="001B38FD"/>
    <w:rsid w:val="001B3A68"/>
    <w:rsid w:val="001C121D"/>
    <w:rsid w:val="001C7F8F"/>
    <w:rsid w:val="001D2D28"/>
    <w:rsid w:val="001D3F75"/>
    <w:rsid w:val="001D4FAB"/>
    <w:rsid w:val="001D5202"/>
    <w:rsid w:val="001D6C91"/>
    <w:rsid w:val="001E2C85"/>
    <w:rsid w:val="001E7308"/>
    <w:rsid w:val="001F06E3"/>
    <w:rsid w:val="002007BC"/>
    <w:rsid w:val="0020305C"/>
    <w:rsid w:val="002033CA"/>
    <w:rsid w:val="002038F4"/>
    <w:rsid w:val="002177EE"/>
    <w:rsid w:val="00221F54"/>
    <w:rsid w:val="0023043D"/>
    <w:rsid w:val="002308A1"/>
    <w:rsid w:val="0023277D"/>
    <w:rsid w:val="00234A55"/>
    <w:rsid w:val="002365FC"/>
    <w:rsid w:val="0023751B"/>
    <w:rsid w:val="002472A5"/>
    <w:rsid w:val="00250010"/>
    <w:rsid w:val="00264B1C"/>
    <w:rsid w:val="00267FE0"/>
    <w:rsid w:val="00273A12"/>
    <w:rsid w:val="002747E5"/>
    <w:rsid w:val="00275A90"/>
    <w:rsid w:val="002827A9"/>
    <w:rsid w:val="00294514"/>
    <w:rsid w:val="002A6C84"/>
    <w:rsid w:val="002A7486"/>
    <w:rsid w:val="002B6FAE"/>
    <w:rsid w:val="002B7583"/>
    <w:rsid w:val="002B77AD"/>
    <w:rsid w:val="002C6EBB"/>
    <w:rsid w:val="002D00E9"/>
    <w:rsid w:val="002D43CC"/>
    <w:rsid w:val="002D4F30"/>
    <w:rsid w:val="002E426A"/>
    <w:rsid w:val="002E61C4"/>
    <w:rsid w:val="002E6CAD"/>
    <w:rsid w:val="002F6818"/>
    <w:rsid w:val="0030154B"/>
    <w:rsid w:val="003020CC"/>
    <w:rsid w:val="00304045"/>
    <w:rsid w:val="00310CE4"/>
    <w:rsid w:val="00314144"/>
    <w:rsid w:val="00315B89"/>
    <w:rsid w:val="0032083E"/>
    <w:rsid w:val="00323E76"/>
    <w:rsid w:val="00324E28"/>
    <w:rsid w:val="0032619F"/>
    <w:rsid w:val="003264A2"/>
    <w:rsid w:val="00327182"/>
    <w:rsid w:val="00331703"/>
    <w:rsid w:val="00331F1E"/>
    <w:rsid w:val="00337163"/>
    <w:rsid w:val="0034476F"/>
    <w:rsid w:val="003537C2"/>
    <w:rsid w:val="003553E4"/>
    <w:rsid w:val="00355E53"/>
    <w:rsid w:val="0035609B"/>
    <w:rsid w:val="00363127"/>
    <w:rsid w:val="00364232"/>
    <w:rsid w:val="00367F0C"/>
    <w:rsid w:val="0037258A"/>
    <w:rsid w:val="00376435"/>
    <w:rsid w:val="0038056C"/>
    <w:rsid w:val="00380E6A"/>
    <w:rsid w:val="003817B7"/>
    <w:rsid w:val="00381DEA"/>
    <w:rsid w:val="0039015B"/>
    <w:rsid w:val="003B5DA7"/>
    <w:rsid w:val="003B5FBB"/>
    <w:rsid w:val="003C3329"/>
    <w:rsid w:val="003E3BA1"/>
    <w:rsid w:val="003E477C"/>
    <w:rsid w:val="003F5CAE"/>
    <w:rsid w:val="0040234B"/>
    <w:rsid w:val="00402420"/>
    <w:rsid w:val="00402FFD"/>
    <w:rsid w:val="00413055"/>
    <w:rsid w:val="004152C2"/>
    <w:rsid w:val="00415C17"/>
    <w:rsid w:val="00417A01"/>
    <w:rsid w:val="00417A5F"/>
    <w:rsid w:val="00421793"/>
    <w:rsid w:val="00422EFF"/>
    <w:rsid w:val="00423E2F"/>
    <w:rsid w:val="00424319"/>
    <w:rsid w:val="0043494D"/>
    <w:rsid w:val="00437F6E"/>
    <w:rsid w:val="004450AA"/>
    <w:rsid w:val="00451880"/>
    <w:rsid w:val="00453601"/>
    <w:rsid w:val="004548C6"/>
    <w:rsid w:val="00454E1E"/>
    <w:rsid w:val="00457C58"/>
    <w:rsid w:val="00461C9E"/>
    <w:rsid w:val="00463793"/>
    <w:rsid w:val="00467E79"/>
    <w:rsid w:val="00481582"/>
    <w:rsid w:val="00481719"/>
    <w:rsid w:val="00490E2F"/>
    <w:rsid w:val="00496F60"/>
    <w:rsid w:val="004A23D2"/>
    <w:rsid w:val="004A4003"/>
    <w:rsid w:val="004A5743"/>
    <w:rsid w:val="004C58F2"/>
    <w:rsid w:val="004C7041"/>
    <w:rsid w:val="004D48EB"/>
    <w:rsid w:val="004D74E3"/>
    <w:rsid w:val="004D7726"/>
    <w:rsid w:val="004E1BB4"/>
    <w:rsid w:val="004E3B2D"/>
    <w:rsid w:val="004E5E58"/>
    <w:rsid w:val="004E6FFE"/>
    <w:rsid w:val="004F7881"/>
    <w:rsid w:val="00506C3E"/>
    <w:rsid w:val="00520293"/>
    <w:rsid w:val="005205F3"/>
    <w:rsid w:val="005247F3"/>
    <w:rsid w:val="005322C6"/>
    <w:rsid w:val="0053391D"/>
    <w:rsid w:val="0053790F"/>
    <w:rsid w:val="005403ED"/>
    <w:rsid w:val="00543292"/>
    <w:rsid w:val="00550648"/>
    <w:rsid w:val="00557965"/>
    <w:rsid w:val="0056624A"/>
    <w:rsid w:val="0057795E"/>
    <w:rsid w:val="00580984"/>
    <w:rsid w:val="0058344B"/>
    <w:rsid w:val="00583995"/>
    <w:rsid w:val="005860E1"/>
    <w:rsid w:val="00587B69"/>
    <w:rsid w:val="005933F7"/>
    <w:rsid w:val="0059344C"/>
    <w:rsid w:val="00596E44"/>
    <w:rsid w:val="005A1A89"/>
    <w:rsid w:val="005A230A"/>
    <w:rsid w:val="005B4F0D"/>
    <w:rsid w:val="005B7D42"/>
    <w:rsid w:val="005C2300"/>
    <w:rsid w:val="005C7A37"/>
    <w:rsid w:val="005D06F9"/>
    <w:rsid w:val="005D2F74"/>
    <w:rsid w:val="005D3BD9"/>
    <w:rsid w:val="005D420D"/>
    <w:rsid w:val="005E2439"/>
    <w:rsid w:val="005E4E76"/>
    <w:rsid w:val="005E60B0"/>
    <w:rsid w:val="005E7D66"/>
    <w:rsid w:val="005F014C"/>
    <w:rsid w:val="005F6F21"/>
    <w:rsid w:val="006005CC"/>
    <w:rsid w:val="00603E27"/>
    <w:rsid w:val="00606DCC"/>
    <w:rsid w:val="00607573"/>
    <w:rsid w:val="006213AD"/>
    <w:rsid w:val="006229F9"/>
    <w:rsid w:val="00625CFA"/>
    <w:rsid w:val="006271DE"/>
    <w:rsid w:val="00632960"/>
    <w:rsid w:val="0064222F"/>
    <w:rsid w:val="00642858"/>
    <w:rsid w:val="00645849"/>
    <w:rsid w:val="00656374"/>
    <w:rsid w:val="006611BA"/>
    <w:rsid w:val="006617B9"/>
    <w:rsid w:val="00672C39"/>
    <w:rsid w:val="006743A5"/>
    <w:rsid w:val="00674892"/>
    <w:rsid w:val="00674B5C"/>
    <w:rsid w:val="0067532F"/>
    <w:rsid w:val="00680509"/>
    <w:rsid w:val="006814DA"/>
    <w:rsid w:val="006878E0"/>
    <w:rsid w:val="006979D5"/>
    <w:rsid w:val="006A0501"/>
    <w:rsid w:val="006A776F"/>
    <w:rsid w:val="006B42B6"/>
    <w:rsid w:val="006B44FF"/>
    <w:rsid w:val="006B609E"/>
    <w:rsid w:val="006B627C"/>
    <w:rsid w:val="006B75A9"/>
    <w:rsid w:val="006C253B"/>
    <w:rsid w:val="006C3BB8"/>
    <w:rsid w:val="006C43CD"/>
    <w:rsid w:val="006D1313"/>
    <w:rsid w:val="006E0919"/>
    <w:rsid w:val="006E4453"/>
    <w:rsid w:val="006E4FDD"/>
    <w:rsid w:val="006E6C78"/>
    <w:rsid w:val="006E74B8"/>
    <w:rsid w:val="006F1483"/>
    <w:rsid w:val="006F2BDD"/>
    <w:rsid w:val="006F5C88"/>
    <w:rsid w:val="006F687A"/>
    <w:rsid w:val="006F7002"/>
    <w:rsid w:val="007037E7"/>
    <w:rsid w:val="00706005"/>
    <w:rsid w:val="00710F05"/>
    <w:rsid w:val="00724BEF"/>
    <w:rsid w:val="0072567E"/>
    <w:rsid w:val="00727307"/>
    <w:rsid w:val="0073029A"/>
    <w:rsid w:val="007408B5"/>
    <w:rsid w:val="007451D4"/>
    <w:rsid w:val="00745218"/>
    <w:rsid w:val="00757545"/>
    <w:rsid w:val="00771772"/>
    <w:rsid w:val="00771A04"/>
    <w:rsid w:val="007729BE"/>
    <w:rsid w:val="00783B27"/>
    <w:rsid w:val="00795600"/>
    <w:rsid w:val="007A6BF0"/>
    <w:rsid w:val="007B55CB"/>
    <w:rsid w:val="007B7040"/>
    <w:rsid w:val="007D5DD1"/>
    <w:rsid w:val="007F5925"/>
    <w:rsid w:val="007F68E9"/>
    <w:rsid w:val="00803EE9"/>
    <w:rsid w:val="00806187"/>
    <w:rsid w:val="00806FC5"/>
    <w:rsid w:val="00807C30"/>
    <w:rsid w:val="008104DD"/>
    <w:rsid w:val="008176BB"/>
    <w:rsid w:val="008241CF"/>
    <w:rsid w:val="00826550"/>
    <w:rsid w:val="00834C38"/>
    <w:rsid w:val="00835D39"/>
    <w:rsid w:val="0083633C"/>
    <w:rsid w:val="00844141"/>
    <w:rsid w:val="00851F81"/>
    <w:rsid w:val="00855251"/>
    <w:rsid w:val="0086262B"/>
    <w:rsid w:val="00862EB1"/>
    <w:rsid w:val="0086318A"/>
    <w:rsid w:val="00873DE1"/>
    <w:rsid w:val="00875C0E"/>
    <w:rsid w:val="00882CC4"/>
    <w:rsid w:val="00892A06"/>
    <w:rsid w:val="008965E1"/>
    <w:rsid w:val="008A35E4"/>
    <w:rsid w:val="008A748E"/>
    <w:rsid w:val="008B12C1"/>
    <w:rsid w:val="008C1C23"/>
    <w:rsid w:val="008C3702"/>
    <w:rsid w:val="008C39F0"/>
    <w:rsid w:val="008C564C"/>
    <w:rsid w:val="008D1E8E"/>
    <w:rsid w:val="008D687F"/>
    <w:rsid w:val="008E1BDB"/>
    <w:rsid w:val="008E48B9"/>
    <w:rsid w:val="008E6003"/>
    <w:rsid w:val="008F0759"/>
    <w:rsid w:val="008F4E55"/>
    <w:rsid w:val="009049BD"/>
    <w:rsid w:val="00907402"/>
    <w:rsid w:val="00910804"/>
    <w:rsid w:val="00912995"/>
    <w:rsid w:val="00916DB3"/>
    <w:rsid w:val="009171A1"/>
    <w:rsid w:val="00917D63"/>
    <w:rsid w:val="00920686"/>
    <w:rsid w:val="00921D97"/>
    <w:rsid w:val="00923B87"/>
    <w:rsid w:val="00944D43"/>
    <w:rsid w:val="0094676D"/>
    <w:rsid w:val="009472F6"/>
    <w:rsid w:val="00951619"/>
    <w:rsid w:val="009525F0"/>
    <w:rsid w:val="00956FFD"/>
    <w:rsid w:val="009631C1"/>
    <w:rsid w:val="0096583A"/>
    <w:rsid w:val="00966AA5"/>
    <w:rsid w:val="00970FCE"/>
    <w:rsid w:val="0097392A"/>
    <w:rsid w:val="00974319"/>
    <w:rsid w:val="00975EAE"/>
    <w:rsid w:val="009817E0"/>
    <w:rsid w:val="00982E69"/>
    <w:rsid w:val="0098453A"/>
    <w:rsid w:val="0098570E"/>
    <w:rsid w:val="00994A16"/>
    <w:rsid w:val="009A6FD3"/>
    <w:rsid w:val="009B1398"/>
    <w:rsid w:val="009B1F9F"/>
    <w:rsid w:val="009B476E"/>
    <w:rsid w:val="009B5F59"/>
    <w:rsid w:val="009B7B66"/>
    <w:rsid w:val="009C1728"/>
    <w:rsid w:val="009C4B5D"/>
    <w:rsid w:val="009C76D1"/>
    <w:rsid w:val="009D0A2B"/>
    <w:rsid w:val="009D2729"/>
    <w:rsid w:val="009D27E0"/>
    <w:rsid w:val="009E3A9B"/>
    <w:rsid w:val="009E454C"/>
    <w:rsid w:val="009F3590"/>
    <w:rsid w:val="009F6667"/>
    <w:rsid w:val="00A02746"/>
    <w:rsid w:val="00A157CC"/>
    <w:rsid w:val="00A31E6B"/>
    <w:rsid w:val="00A36890"/>
    <w:rsid w:val="00A4013E"/>
    <w:rsid w:val="00A45A14"/>
    <w:rsid w:val="00A5088B"/>
    <w:rsid w:val="00A57F0C"/>
    <w:rsid w:val="00A60FB8"/>
    <w:rsid w:val="00A727B2"/>
    <w:rsid w:val="00A74067"/>
    <w:rsid w:val="00A75312"/>
    <w:rsid w:val="00A75B29"/>
    <w:rsid w:val="00A8121A"/>
    <w:rsid w:val="00A90EB3"/>
    <w:rsid w:val="00A9178B"/>
    <w:rsid w:val="00A94721"/>
    <w:rsid w:val="00AA0FA2"/>
    <w:rsid w:val="00AB0283"/>
    <w:rsid w:val="00AB0E4A"/>
    <w:rsid w:val="00AB1368"/>
    <w:rsid w:val="00AB70A0"/>
    <w:rsid w:val="00AB7741"/>
    <w:rsid w:val="00AC222A"/>
    <w:rsid w:val="00AD6E48"/>
    <w:rsid w:val="00AE13BD"/>
    <w:rsid w:val="00AE2CBF"/>
    <w:rsid w:val="00AF265B"/>
    <w:rsid w:val="00AF7FFE"/>
    <w:rsid w:val="00B04119"/>
    <w:rsid w:val="00B06EAF"/>
    <w:rsid w:val="00B10D4B"/>
    <w:rsid w:val="00B1217C"/>
    <w:rsid w:val="00B22C15"/>
    <w:rsid w:val="00B24E0F"/>
    <w:rsid w:val="00B25DE8"/>
    <w:rsid w:val="00B300CF"/>
    <w:rsid w:val="00B3093E"/>
    <w:rsid w:val="00B30C3C"/>
    <w:rsid w:val="00B36BEA"/>
    <w:rsid w:val="00B46544"/>
    <w:rsid w:val="00B54193"/>
    <w:rsid w:val="00B57190"/>
    <w:rsid w:val="00B5796A"/>
    <w:rsid w:val="00B57BB3"/>
    <w:rsid w:val="00B609C1"/>
    <w:rsid w:val="00B649C5"/>
    <w:rsid w:val="00B66036"/>
    <w:rsid w:val="00B72255"/>
    <w:rsid w:val="00B7479D"/>
    <w:rsid w:val="00B769E7"/>
    <w:rsid w:val="00B8162E"/>
    <w:rsid w:val="00B81983"/>
    <w:rsid w:val="00B81D53"/>
    <w:rsid w:val="00B86B6F"/>
    <w:rsid w:val="00B92072"/>
    <w:rsid w:val="00B95760"/>
    <w:rsid w:val="00B97C21"/>
    <w:rsid w:val="00BA157E"/>
    <w:rsid w:val="00BA2DD9"/>
    <w:rsid w:val="00BC5BA2"/>
    <w:rsid w:val="00BC7B04"/>
    <w:rsid w:val="00BD2645"/>
    <w:rsid w:val="00BD48FC"/>
    <w:rsid w:val="00BD7518"/>
    <w:rsid w:val="00BE29E2"/>
    <w:rsid w:val="00BE3179"/>
    <w:rsid w:val="00BE7DCC"/>
    <w:rsid w:val="00BF27B5"/>
    <w:rsid w:val="00BF4CA5"/>
    <w:rsid w:val="00BF6BBE"/>
    <w:rsid w:val="00C00372"/>
    <w:rsid w:val="00C00D6F"/>
    <w:rsid w:val="00C02683"/>
    <w:rsid w:val="00C04CEB"/>
    <w:rsid w:val="00C06075"/>
    <w:rsid w:val="00C12C79"/>
    <w:rsid w:val="00C1705F"/>
    <w:rsid w:val="00C23645"/>
    <w:rsid w:val="00C2430E"/>
    <w:rsid w:val="00C25460"/>
    <w:rsid w:val="00C435D4"/>
    <w:rsid w:val="00C43F6D"/>
    <w:rsid w:val="00C45D36"/>
    <w:rsid w:val="00C56015"/>
    <w:rsid w:val="00C61367"/>
    <w:rsid w:val="00C64155"/>
    <w:rsid w:val="00C745BB"/>
    <w:rsid w:val="00C7740E"/>
    <w:rsid w:val="00C813C3"/>
    <w:rsid w:val="00C85C0A"/>
    <w:rsid w:val="00C93328"/>
    <w:rsid w:val="00C971F6"/>
    <w:rsid w:val="00CA1EF2"/>
    <w:rsid w:val="00CA30BC"/>
    <w:rsid w:val="00CA45CD"/>
    <w:rsid w:val="00CB01E5"/>
    <w:rsid w:val="00CC434F"/>
    <w:rsid w:val="00CC6011"/>
    <w:rsid w:val="00CC65AE"/>
    <w:rsid w:val="00CC689C"/>
    <w:rsid w:val="00CD2E95"/>
    <w:rsid w:val="00CD2EEB"/>
    <w:rsid w:val="00CD3205"/>
    <w:rsid w:val="00CE0A12"/>
    <w:rsid w:val="00CE3383"/>
    <w:rsid w:val="00CE3992"/>
    <w:rsid w:val="00CE5670"/>
    <w:rsid w:val="00CE6030"/>
    <w:rsid w:val="00CF3301"/>
    <w:rsid w:val="00D0449B"/>
    <w:rsid w:val="00D06DE6"/>
    <w:rsid w:val="00D1514D"/>
    <w:rsid w:val="00D17B3A"/>
    <w:rsid w:val="00D213FC"/>
    <w:rsid w:val="00D22021"/>
    <w:rsid w:val="00D22279"/>
    <w:rsid w:val="00D2374A"/>
    <w:rsid w:val="00D27830"/>
    <w:rsid w:val="00D3410A"/>
    <w:rsid w:val="00D34FA0"/>
    <w:rsid w:val="00D4113E"/>
    <w:rsid w:val="00D42924"/>
    <w:rsid w:val="00D54130"/>
    <w:rsid w:val="00D5634E"/>
    <w:rsid w:val="00D57CD8"/>
    <w:rsid w:val="00D6191E"/>
    <w:rsid w:val="00D66210"/>
    <w:rsid w:val="00D70BC3"/>
    <w:rsid w:val="00D72E02"/>
    <w:rsid w:val="00D80FEB"/>
    <w:rsid w:val="00D83324"/>
    <w:rsid w:val="00D92417"/>
    <w:rsid w:val="00D93A38"/>
    <w:rsid w:val="00D95868"/>
    <w:rsid w:val="00DA19E4"/>
    <w:rsid w:val="00DA75D0"/>
    <w:rsid w:val="00DB047D"/>
    <w:rsid w:val="00DB131B"/>
    <w:rsid w:val="00DB4B0E"/>
    <w:rsid w:val="00DB4DF1"/>
    <w:rsid w:val="00DB4F86"/>
    <w:rsid w:val="00DB6FED"/>
    <w:rsid w:val="00DC48AB"/>
    <w:rsid w:val="00DC704F"/>
    <w:rsid w:val="00DD4135"/>
    <w:rsid w:val="00DD50B2"/>
    <w:rsid w:val="00DD5FB5"/>
    <w:rsid w:val="00DD6073"/>
    <w:rsid w:val="00DD6C27"/>
    <w:rsid w:val="00DE1158"/>
    <w:rsid w:val="00DE1680"/>
    <w:rsid w:val="00DE3A38"/>
    <w:rsid w:val="00DE7EFC"/>
    <w:rsid w:val="00DF33BC"/>
    <w:rsid w:val="00DF4181"/>
    <w:rsid w:val="00E0269D"/>
    <w:rsid w:val="00E02788"/>
    <w:rsid w:val="00E033D9"/>
    <w:rsid w:val="00E04445"/>
    <w:rsid w:val="00E0479D"/>
    <w:rsid w:val="00E1195B"/>
    <w:rsid w:val="00E202BC"/>
    <w:rsid w:val="00E314C0"/>
    <w:rsid w:val="00E36BEE"/>
    <w:rsid w:val="00E37210"/>
    <w:rsid w:val="00E37390"/>
    <w:rsid w:val="00E42F8A"/>
    <w:rsid w:val="00E4304A"/>
    <w:rsid w:val="00E53417"/>
    <w:rsid w:val="00E55847"/>
    <w:rsid w:val="00E574B4"/>
    <w:rsid w:val="00E6699F"/>
    <w:rsid w:val="00E73934"/>
    <w:rsid w:val="00E76612"/>
    <w:rsid w:val="00E856D4"/>
    <w:rsid w:val="00E9737F"/>
    <w:rsid w:val="00E97A44"/>
    <w:rsid w:val="00EA4C75"/>
    <w:rsid w:val="00EA5FBB"/>
    <w:rsid w:val="00EC0071"/>
    <w:rsid w:val="00EC051E"/>
    <w:rsid w:val="00EC46ED"/>
    <w:rsid w:val="00EC5D89"/>
    <w:rsid w:val="00EC672A"/>
    <w:rsid w:val="00EC74CA"/>
    <w:rsid w:val="00ED4979"/>
    <w:rsid w:val="00ED62ED"/>
    <w:rsid w:val="00ED7BCA"/>
    <w:rsid w:val="00EE1929"/>
    <w:rsid w:val="00EE2A09"/>
    <w:rsid w:val="00EE6445"/>
    <w:rsid w:val="00F015CF"/>
    <w:rsid w:val="00F03BD8"/>
    <w:rsid w:val="00F074D1"/>
    <w:rsid w:val="00F1218A"/>
    <w:rsid w:val="00F15830"/>
    <w:rsid w:val="00F15BF8"/>
    <w:rsid w:val="00F205D4"/>
    <w:rsid w:val="00F20B66"/>
    <w:rsid w:val="00F2410D"/>
    <w:rsid w:val="00F25838"/>
    <w:rsid w:val="00F25A0A"/>
    <w:rsid w:val="00F348CE"/>
    <w:rsid w:val="00F35B5A"/>
    <w:rsid w:val="00F45442"/>
    <w:rsid w:val="00F505A3"/>
    <w:rsid w:val="00F56281"/>
    <w:rsid w:val="00F66F5F"/>
    <w:rsid w:val="00F7056B"/>
    <w:rsid w:val="00F85751"/>
    <w:rsid w:val="00F85FD0"/>
    <w:rsid w:val="00F97018"/>
    <w:rsid w:val="00FA66BA"/>
    <w:rsid w:val="00FB63BC"/>
    <w:rsid w:val="00FB7960"/>
    <w:rsid w:val="00FC21B7"/>
    <w:rsid w:val="00FC5BF7"/>
    <w:rsid w:val="00FD057C"/>
    <w:rsid w:val="00FD105B"/>
    <w:rsid w:val="00FD4245"/>
    <w:rsid w:val="00FD5523"/>
    <w:rsid w:val="00FE50C3"/>
    <w:rsid w:val="00FF69C1"/>
    <w:rsid w:val="00FF75BA"/>
    <w:rsid w:val="08BE4E75"/>
    <w:rsid w:val="167D731A"/>
    <w:rsid w:val="1B70F250"/>
    <w:rsid w:val="25832CAD"/>
    <w:rsid w:val="27322D3C"/>
    <w:rsid w:val="32B0E51B"/>
    <w:rsid w:val="33A1EF13"/>
    <w:rsid w:val="407B4695"/>
    <w:rsid w:val="46E5E262"/>
    <w:rsid w:val="50A48289"/>
    <w:rsid w:val="5F3E7085"/>
    <w:rsid w:val="5F65076F"/>
    <w:rsid w:val="68B6000F"/>
    <w:rsid w:val="7101CC69"/>
    <w:rsid w:val="7323C040"/>
    <w:rsid w:val="78937347"/>
    <w:rsid w:val="7EC8469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20ED1"/>
  <w15:docId w15:val="{5FA37FAF-1F8B-4B55-94F3-8A7EFEAA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paragraph" w:styleId="berarbeitung">
    <w:name w:val="Revision"/>
    <w:hidden/>
    <w:uiPriority w:val="99"/>
    <w:semiHidden/>
    <w:rsid w:val="008F4E55"/>
    <w:pPr>
      <w:spacing w:after="0" w:line="240" w:lineRule="auto"/>
    </w:pPr>
    <w:rPr>
      <w:rFonts w:ascii="Arial" w:hAnsi="Arial" w:cs="Times New Roman"/>
      <w:kern w:val="24"/>
      <w:szCs w:val="24"/>
      <w:lang w:eastAsia="ar-SA"/>
    </w:rPr>
  </w:style>
  <w:style w:type="paragraph" w:styleId="StandardWeb">
    <w:name w:val="Normal (Web)"/>
    <w:basedOn w:val="Standard"/>
    <w:uiPriority w:val="99"/>
    <w:unhideWhenUsed/>
    <w:rsid w:val="001C7F8F"/>
    <w:rPr>
      <w:rFonts w:ascii="Times New Roman" w:hAnsi="Times New Roman"/>
      <w:sz w:val="24"/>
    </w:rPr>
  </w:style>
  <w:style w:type="character" w:styleId="BesuchterLink">
    <w:name w:val="FollowedHyperlink"/>
    <w:basedOn w:val="Absatz-Standardschriftart"/>
    <w:uiPriority w:val="99"/>
    <w:semiHidden/>
    <w:unhideWhenUsed/>
    <w:rsid w:val="006A776F"/>
    <w:rPr>
      <w:color w:val="800080" w:themeColor="followedHyperlink"/>
      <w:u w:val="single"/>
    </w:rPr>
  </w:style>
  <w:style w:type="character" w:styleId="Erwhnung">
    <w:name w:val="Mention"/>
    <w:basedOn w:val="Absatz-Standardschriftart"/>
    <w:uiPriority w:val="99"/>
    <w:unhideWhenUsed/>
    <w:rsid w:val="00F970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gatec.com/en/products/com-express-type-6/conga-tc300" TargetMode="External"/><Relationship Id="rId18" Type="http://schemas.openxmlformats.org/officeDocument/2006/relationships/hyperlink" Target="http://www.congatec.u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congatec.com/en/aready/ubuntu-pro/" TargetMode="External"/><Relationship Id="rId17" Type="http://schemas.openxmlformats.org/officeDocument/2006/relationships/hyperlink" Target="mailto:Dan.Demers@congatec.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congatecAE" TargetMode="External"/><Relationship Id="rId20" Type="http://schemas.openxmlformats.org/officeDocument/2006/relationships/hyperlink" Target="file://NAS5000/Kunden/congatec/01-PR/www.congatec.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gatec.com/en/aready/ctrlx-os/"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linkedin.com/company/congatec/"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mailto:janene.rae@congatec.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congatec.com/" TargetMode="External"/><Relationship Id="rId22"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Props1.xml><?xml version="1.0" encoding="utf-8"?>
<ds:datastoreItem xmlns:ds="http://schemas.openxmlformats.org/officeDocument/2006/customXml" ds:itemID="{6EAD2FAE-AE25-46CF-B6E8-CCBF28D6389C}">
  <ds:schemaRefs>
    <ds:schemaRef ds:uri="http://schemas.microsoft.com/sharepoint/v3/contenttype/forms"/>
  </ds:schemaRefs>
</ds:datastoreItem>
</file>

<file path=customXml/itemProps2.xml><?xml version="1.0" encoding="utf-8"?>
<ds:datastoreItem xmlns:ds="http://schemas.openxmlformats.org/officeDocument/2006/customXml" ds:itemID="{EE356B72-E9E9-4CC3-8E12-A73E2A29E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7680F-0B29-4EAC-878E-7B3B198938CC}">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995</Words>
  <Characters>6272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7253</CharactersWithSpaces>
  <SharedDoc>false</SharedDoc>
  <HLinks>
    <vt:vector size="42" baseType="variant">
      <vt:variant>
        <vt:i4>4980801</vt:i4>
      </vt:variant>
      <vt:variant>
        <vt:i4>15</vt:i4>
      </vt:variant>
      <vt:variant>
        <vt:i4>0</vt:i4>
      </vt:variant>
      <vt:variant>
        <vt:i4>5</vt:i4>
      </vt:variant>
      <vt:variant>
        <vt:lpwstr>http://www.congatec.com/</vt:lpwstr>
      </vt:variant>
      <vt:variant>
        <vt:lpwstr/>
      </vt:variant>
      <vt:variant>
        <vt:i4>2424890</vt:i4>
      </vt:variant>
      <vt:variant>
        <vt:i4>12</vt:i4>
      </vt:variant>
      <vt:variant>
        <vt:i4>0</vt:i4>
      </vt:variant>
      <vt:variant>
        <vt:i4>5</vt:i4>
      </vt:variant>
      <vt:variant>
        <vt:lpwstr>https://www.youtube.com/congatecAE</vt:lpwstr>
      </vt:variant>
      <vt:variant>
        <vt:lpwstr/>
      </vt:variant>
      <vt:variant>
        <vt:i4>8257633</vt:i4>
      </vt:variant>
      <vt:variant>
        <vt:i4>9</vt:i4>
      </vt:variant>
      <vt:variant>
        <vt:i4>0</vt:i4>
      </vt:variant>
      <vt:variant>
        <vt:i4>5</vt:i4>
      </vt:variant>
      <vt:variant>
        <vt:lpwstr>https://www.linkedin.com/company/congatec/</vt:lpwstr>
      </vt:variant>
      <vt:variant>
        <vt:lpwstr/>
      </vt:variant>
      <vt:variant>
        <vt:i4>4980801</vt:i4>
      </vt:variant>
      <vt:variant>
        <vt:i4>6</vt:i4>
      </vt:variant>
      <vt:variant>
        <vt:i4>0</vt:i4>
      </vt:variant>
      <vt:variant>
        <vt:i4>5</vt:i4>
      </vt:variant>
      <vt:variant>
        <vt:lpwstr>http://www.congatec.com/</vt:lpwstr>
      </vt:variant>
      <vt:variant>
        <vt:lpwstr/>
      </vt:variant>
      <vt:variant>
        <vt:i4>8192096</vt:i4>
      </vt:variant>
      <vt:variant>
        <vt:i4>3</vt:i4>
      </vt:variant>
      <vt:variant>
        <vt:i4>0</vt:i4>
      </vt:variant>
      <vt:variant>
        <vt:i4>5</vt:i4>
      </vt:variant>
      <vt:variant>
        <vt:lpwstr>https://www.congatec.com/en/aready/ubuntu-pro/</vt:lpwstr>
      </vt:variant>
      <vt:variant>
        <vt:lpwstr/>
      </vt:variant>
      <vt:variant>
        <vt:i4>5242944</vt:i4>
      </vt:variant>
      <vt:variant>
        <vt:i4>0</vt:i4>
      </vt:variant>
      <vt:variant>
        <vt:i4>0</vt:i4>
      </vt:variant>
      <vt:variant>
        <vt:i4>5</vt:i4>
      </vt:variant>
      <vt:variant>
        <vt:lpwstr>https://www.congatec.com/en/aready/ctrlx-os/</vt:lpwstr>
      </vt:variant>
      <vt:variant>
        <vt:lpwstr/>
      </vt:variant>
      <vt:variant>
        <vt:i4>1900655</vt:i4>
      </vt:variant>
      <vt:variant>
        <vt:i4>0</vt:i4>
      </vt:variant>
      <vt:variant>
        <vt:i4>0</vt:i4>
      </vt:variant>
      <vt:variant>
        <vt:i4>5</vt:i4>
      </vt:variant>
      <vt:variant>
        <vt:lpwstr>mailto:Christof.Wilde@congatec.com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Christof Wilde</cp:lastModifiedBy>
  <cp:revision>8</cp:revision>
  <dcterms:created xsi:type="dcterms:W3CDTF">2026-04-13T12:24:00Z</dcterms:created>
  <dcterms:modified xsi:type="dcterms:W3CDTF">2026-04-16T14:19:00Z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ClassificationContentMarkingFooterShapeIds">
    <vt:lpwstr>2,4,5</vt:lpwstr>
  </property>
  <property fmtid="{D5CDD505-2E9C-101B-9397-08002B2CF9AE}" pid="12" name="ClassificationContentMarkingFooterFontProps">
    <vt:lpwstr>#000000,10,Calibri</vt:lpwstr>
  </property>
  <property fmtid="{D5CDD505-2E9C-101B-9397-08002B2CF9AE}" pid="13" name="ClassificationContentMarkingFooterText">
    <vt:lpwstr>congatec confidential information | This information is confidential and solely for the use of the recipient or entity and may not be reproduced or circulated without congatec prior written consent</vt:lpwstr>
  </property>
  <property fmtid="{D5CDD505-2E9C-101B-9397-08002B2CF9AE}" pid="14" name="MSIP_Label_cffacaf4-12c9-4a18-9e17-a1a61701c062_Enabled">
    <vt:lpwstr>true</vt:lpwstr>
  </property>
  <property fmtid="{D5CDD505-2E9C-101B-9397-08002B2CF9AE}" pid="15" name="MSIP_Label_cffacaf4-12c9-4a18-9e17-a1a61701c062_SetDate">
    <vt:lpwstr>2024-12-17T16:06:40Z</vt:lpwstr>
  </property>
  <property fmtid="{D5CDD505-2E9C-101B-9397-08002B2CF9AE}" pid="16" name="MSIP_Label_cffacaf4-12c9-4a18-9e17-a1a61701c062_Method">
    <vt:lpwstr>Standard</vt:lpwstr>
  </property>
  <property fmtid="{D5CDD505-2E9C-101B-9397-08002B2CF9AE}" pid="17" name="MSIP_Label_cffacaf4-12c9-4a18-9e17-a1a61701c062_Name">
    <vt:lpwstr>confidential</vt:lpwstr>
  </property>
  <property fmtid="{D5CDD505-2E9C-101B-9397-08002B2CF9AE}" pid="18" name="MSIP_Label_cffacaf4-12c9-4a18-9e17-a1a61701c062_SiteId">
    <vt:lpwstr>1b738660-1266-4587-9d54-54e9ad89e4cb</vt:lpwstr>
  </property>
  <property fmtid="{D5CDD505-2E9C-101B-9397-08002B2CF9AE}" pid="19" name="MSIP_Label_cffacaf4-12c9-4a18-9e17-a1a61701c062_ActionId">
    <vt:lpwstr>c9a2c470-bce3-4f6c-846b-f22fb87dc151</vt:lpwstr>
  </property>
  <property fmtid="{D5CDD505-2E9C-101B-9397-08002B2CF9AE}" pid="20" name="MSIP_Label_cffacaf4-12c9-4a18-9e17-a1a61701c062_ContentBits">
    <vt:lpwstr>2</vt:lpwstr>
  </property>
  <property fmtid="{D5CDD505-2E9C-101B-9397-08002B2CF9AE}" pid="21" name="MKT_x0020_Tool">
    <vt:lpwstr>60;#Communications|e0c0526b-2b41-43bb-a08c-1cb498609ece</vt:lpwstr>
  </property>
  <property fmtid="{D5CDD505-2E9C-101B-9397-08002B2CF9AE}" pid="22" name="Sensitiv">
    <vt:lpwstr>100;#Public|590582d8-094f-4e7d-91c2-340905e3aaa0</vt:lpwstr>
  </property>
  <property fmtid="{D5CDD505-2E9C-101B-9397-08002B2CF9AE}" pid="23" name="Approval_x0020_Process">
    <vt:lpwstr/>
  </property>
  <property fmtid="{D5CDD505-2E9C-101B-9397-08002B2CF9AE}" pid="24" name="Content">
    <vt:lpwstr>110;#Press Release|5cf71846-c6a5-494a-9a1a-95d12d8e4f03</vt:lpwstr>
  </property>
  <property fmtid="{D5CDD505-2E9C-101B-9397-08002B2CF9AE}" pid="25" name="Product_x0020_Name">
    <vt:lpwstr/>
  </property>
  <property fmtid="{D5CDD505-2E9C-101B-9397-08002B2CF9AE}" pid="26" name="Form Factor">
    <vt:lpwstr/>
  </property>
  <property fmtid="{D5CDD505-2E9C-101B-9397-08002B2CF9AE}" pid="27" name="Building_x0020_Block">
    <vt:lpwstr/>
  </property>
  <property fmtid="{D5CDD505-2E9C-101B-9397-08002B2CF9AE}" pid="28" name="Form_x0020_Factor">
    <vt:lpwstr/>
  </property>
  <property fmtid="{D5CDD505-2E9C-101B-9397-08002B2CF9AE}" pid="29" name="Building Block">
    <vt:lpwstr/>
  </property>
  <property fmtid="{D5CDD505-2E9C-101B-9397-08002B2CF9AE}" pid="30" name="Project Name">
    <vt:lpwstr/>
  </property>
  <property fmtid="{D5CDD505-2E9C-101B-9397-08002B2CF9AE}" pid="31" name="Product Name">
    <vt:lpwstr/>
  </property>
  <property fmtid="{D5CDD505-2E9C-101B-9397-08002B2CF9AE}" pid="32" name="Approval Process">
    <vt:lpwstr/>
  </property>
  <property fmtid="{D5CDD505-2E9C-101B-9397-08002B2CF9AE}" pid="33" name="Ecosystem">
    <vt:lpwstr/>
  </property>
  <property fmtid="{D5CDD505-2E9C-101B-9397-08002B2CF9AE}" pid="34" name="Industry">
    <vt:lpwstr/>
  </property>
  <property fmtid="{D5CDD505-2E9C-101B-9397-08002B2CF9AE}" pid="35" name="Status">
    <vt:lpwstr/>
  </property>
  <property fmtid="{D5CDD505-2E9C-101B-9397-08002B2CF9AE}" pid="36" name="Project_x0020_Name">
    <vt:lpwstr/>
  </property>
  <property fmtid="{D5CDD505-2E9C-101B-9397-08002B2CF9AE}" pid="37" name="MKT Tool">
    <vt:lpwstr>60;#Communications|e0c0526b-2b41-43bb-a08c-1cb498609ece</vt:lpwstr>
  </property>
  <property fmtid="{D5CDD505-2E9C-101B-9397-08002B2CF9AE}" pid="38" name="CorpProject">
    <vt:lpwstr/>
  </property>
  <property fmtid="{D5CDD505-2E9C-101B-9397-08002B2CF9AE}" pid="39" name="Technology">
    <vt:lpwstr/>
  </property>
  <property fmtid="{D5CDD505-2E9C-101B-9397-08002B2CF9AE}" pid="40" name="Vendor">
    <vt:lpwstr/>
  </property>
</Properties>
</file>